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0FB" w:rsidRDefault="00FC6645">
      <w:pPr>
        <w:pStyle w:val="Heading2"/>
        <w:rPr>
          <w:rFonts w:ascii="Calibri" w:hAnsi="Calibri"/>
          <w:i w:val="0"/>
        </w:rPr>
      </w:pPr>
      <w:bookmarkStart w:id="0" w:name="_Toc143516182"/>
      <w:r w:rsidRPr="00FC6645">
        <w:rPr>
          <w:noProof/>
        </w:rPr>
        <mc:AlternateContent>
          <mc:Choice Requires="wpg">
            <w:drawing>
              <wp:anchor distT="0" distB="0" distL="114300" distR="114300" simplePos="0" relativeHeight="251659264" behindDoc="1" locked="0" layoutInCell="1" allowOverlap="1" wp14:anchorId="40BE39DE" wp14:editId="5CBEDDD3">
                <wp:simplePos x="0" y="0"/>
                <wp:positionH relativeFrom="page">
                  <wp:posOffset>535940</wp:posOffset>
                </wp:positionH>
                <wp:positionV relativeFrom="page">
                  <wp:posOffset>537210</wp:posOffset>
                </wp:positionV>
                <wp:extent cx="6864350" cy="9123045"/>
                <wp:effectExtent l="0" t="0" r="5715" b="2540"/>
                <wp:wrapNone/>
                <wp:docPr id="193" name="Group 193"/>
                <wp:cNvGraphicFramePr/>
                <a:graphic xmlns:a="http://schemas.openxmlformats.org/drawingml/2006/main">
                  <a:graphicData uri="http://schemas.microsoft.com/office/word/2010/wordprocessingGroup">
                    <wpg:wgp>
                      <wpg:cNvGrpSpPr/>
                      <wpg:grpSpPr>
                        <a:xfrm>
                          <a:off x="0" y="0"/>
                          <a:ext cx="6864350" cy="9123045"/>
                          <a:chOff x="0" y="0"/>
                          <a:chExt cx="6864824" cy="9123528"/>
                        </a:xfrm>
                      </wpg:grpSpPr>
                      <wps:wsp>
                        <wps:cNvPr id="194" name="Rectangle 194"/>
                        <wps:cNvSpPr/>
                        <wps:spPr>
                          <a:xfrm>
                            <a:off x="0" y="0"/>
                            <a:ext cx="6858000" cy="137160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4F81BD"/>
                          </a:solidFill>
                          <a:ln w="25400" cap="flat" cmpd="sng" algn="ctr">
                            <a:noFill/>
                            <a:prstDash val="solid"/>
                          </a:ln>
                          <a:effectLst/>
                        </wps:spPr>
                        <wps:txbx>
                          <w:txbxContent>
                            <w:p w:rsidR="00413597" w:rsidRDefault="00413597" w:rsidP="00403EED">
                              <w:pPr>
                                <w:pStyle w:val="Title"/>
                                <w:spacing w:before="120"/>
                                <w:jc w:val="left"/>
                                <w:rPr>
                                  <w:color w:val="FFFFFF" w:themeColor="background1"/>
                                </w:rPr>
                              </w:pPr>
                              <w:sdt>
                                <w:sdtPr>
                                  <w:rPr>
                                    <w:caps/>
                                    <w:color w:val="FFFFFF" w:themeColor="background1"/>
                                    <w:sz w:val="32"/>
                                    <w:szCs w:val="32"/>
                                  </w:rPr>
                                  <w:alias w:val="Company"/>
                                  <w:tag w:val=""/>
                                  <w:id w:val="-2022227912"/>
                                  <w:dataBinding w:prefixMappings="xmlns:ns0='http://schemas.openxmlformats.org/officeDocument/2006/extended-properties' " w:xpath="/ns0:Properties[1]/ns0:Company[1]" w:storeItemID="{6668398D-A668-4E3E-A5EB-62B293D839F1}"/>
                                  <w:text/>
                                </w:sdtPr>
                                <w:sdtContent>
                                  <w:r>
                                    <w:rPr>
                                      <w:caps/>
                                      <w:color w:val="FFFFFF" w:themeColor="background1"/>
                                      <w:sz w:val="32"/>
                                      <w:szCs w:val="32"/>
                                    </w:rPr>
                                    <w:t>city of enid</w:t>
                                  </w:r>
                                </w:sdtContent>
                              </w:sdt>
                              <w:r w:rsidRPr="000426D0">
                                <w:rPr>
                                  <w:color w:val="FFFFFF" w:themeColor="background1"/>
                                  <w:sz w:val="32"/>
                                  <w:szCs w:val="32"/>
                                </w:rPr>
                                <w:t> </w:t>
                              </w:r>
                              <w:r w:rsidRPr="006873B3">
                                <w:rPr>
                                  <w:color w:val="FFFFFF" w:themeColor="background1"/>
                                  <w:sz w:val="32"/>
                                  <w:szCs w:val="32"/>
                                </w:rPr>
                                <w:t xml:space="preserve"> 401 W. Owen K. Garriott Road, Enid, OK 73701</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ysClr val="window" lastClr="FFFFFF"/>
                          </a:solidFill>
                          <a:ln w="6350">
                            <a:noFill/>
                          </a:ln>
                          <a:effectLst/>
                        </wps:spPr>
                        <wps:txbx>
                          <w:txbxContent>
                            <w:p w:rsidR="00413597" w:rsidRPr="000426D0" w:rsidRDefault="00413597" w:rsidP="00FC6645">
                              <w:pPr>
                                <w:rPr>
                                  <w:b/>
                                  <w:sz w:val="60"/>
                                  <w:szCs w:val="60"/>
                                </w:rPr>
                              </w:pPr>
                              <w:r w:rsidRPr="00E9454A">
                                <w:rPr>
                                  <w:b/>
                                  <w:noProof/>
                                  <w:sz w:val="60"/>
                                  <w:szCs w:val="60"/>
                                </w:rPr>
                                <w:drawing>
                                  <wp:inline distT="0" distB="0" distL="0" distR="0" wp14:anchorId="188DAAF5" wp14:editId="0DE43134">
                                    <wp:extent cx="2416287" cy="22682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ty of Enid 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390" cy="2282390"/>
                                            </a:xfrm>
                                            <a:prstGeom prst="rect">
                                              <a:avLst/>
                                            </a:prstGeom>
                                            <a:noFill/>
                                            <a:ln>
                                              <a:noFill/>
                                            </a:ln>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BE39DE" id="Group 193" o:spid="_x0000_s1026" style="position:absolute;margin-left:42.2pt;margin-top:42.3pt;width:540.5pt;height:718.35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" fillcolor="#4f81bd"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" fillcolor="#4f81bd" stroked="f" strokeweight="2pt">
                  <v:textbox inset="36pt,57.6pt,36pt,36pt">
                    <w:txbxContent>
                      <w:p w:rsidR="00413597" w:rsidRDefault="00413597" w:rsidP="00403EED">
                        <w:pPr>
                          <w:pStyle w:val="Title"/>
                          <w:spacing w:before="120"/>
                          <w:jc w:val="left"/>
                          <w:rPr>
                            <w:color w:val="FFFFFF" w:themeColor="background1"/>
                          </w:rPr>
                        </w:pPr>
                        <w:sdt>
                          <w:sdtPr>
                            <w:rPr>
                              <w:caps/>
                              <w:color w:val="FFFFFF" w:themeColor="background1"/>
                              <w:sz w:val="32"/>
                              <w:szCs w:val="32"/>
                            </w:rPr>
                            <w:alias w:val="Company"/>
                            <w:tag w:val=""/>
                            <w:id w:val="-2022227912"/>
                            <w:dataBinding w:prefixMappings="xmlns:ns0='http://schemas.openxmlformats.org/officeDocument/2006/extended-properties' " w:xpath="/ns0:Properties[1]/ns0:Company[1]" w:storeItemID="{6668398D-A668-4E3E-A5EB-62B293D839F1}"/>
                            <w:text/>
                          </w:sdtPr>
                          <w:sdtContent>
                            <w:r>
                              <w:rPr>
                                <w:caps/>
                                <w:color w:val="FFFFFF" w:themeColor="background1"/>
                                <w:sz w:val="32"/>
                                <w:szCs w:val="32"/>
                              </w:rPr>
                              <w:t>city of enid</w:t>
                            </w:r>
                          </w:sdtContent>
                        </w:sdt>
                        <w:r w:rsidRPr="000426D0">
                          <w:rPr>
                            <w:color w:val="FFFFFF" w:themeColor="background1"/>
                            <w:sz w:val="32"/>
                            <w:szCs w:val="32"/>
                          </w:rPr>
                          <w:t> </w:t>
                        </w:r>
                        <w:r w:rsidRPr="006873B3">
                          <w:rPr>
                            <w:color w:val="FFFFFF" w:themeColor="background1"/>
                            <w:sz w:val="32"/>
                            <w:szCs w:val="32"/>
                          </w:rPr>
                          <w:t xml:space="preserve"> 401 W. Owen K. Garriott Road, Enid, OK 73701</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rsidR="00413597" w:rsidRPr="000426D0" w:rsidRDefault="00413597" w:rsidP="00FC6645">
                        <w:pPr>
                          <w:rPr>
                            <w:b/>
                            <w:sz w:val="60"/>
                            <w:szCs w:val="60"/>
                          </w:rPr>
                        </w:pPr>
                        <w:r w:rsidRPr="00E9454A">
                          <w:rPr>
                            <w:b/>
                            <w:noProof/>
                            <w:sz w:val="60"/>
                            <w:szCs w:val="60"/>
                          </w:rPr>
                          <w:drawing>
                            <wp:inline distT="0" distB="0" distL="0" distR="0" wp14:anchorId="188DAAF5" wp14:editId="0DE43134">
                              <wp:extent cx="2416287" cy="22682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ty of Enid 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390" cy="2282390"/>
                                      </a:xfrm>
                                      <a:prstGeom prst="rect">
                                        <a:avLst/>
                                      </a:prstGeom>
                                      <a:noFill/>
                                      <a:ln>
                                        <a:noFill/>
                                      </a:ln>
                                    </pic:spPr>
                                  </pic:pic>
                                </a:graphicData>
                              </a:graphic>
                            </wp:inline>
                          </w:drawing>
                        </w:r>
                      </w:p>
                    </w:txbxContent>
                  </v:textbox>
                </v:shape>
                <w10:wrap anchorx="page" anchory="page"/>
              </v:group>
            </w:pict>
          </mc:Fallback>
        </mc:AlternateContent>
      </w:r>
      <w:r w:rsidRPr="00FC6645">
        <w:rPr>
          <w:noProof/>
        </w:rPr>
        <mc:AlternateContent>
          <mc:Choice Requires="wps">
            <w:drawing>
              <wp:anchor distT="0" distB="0" distL="114300" distR="114300" simplePos="0" relativeHeight="251660288" behindDoc="0" locked="0" layoutInCell="1" allowOverlap="1" wp14:anchorId="3703F7EE" wp14:editId="2E4B4106">
                <wp:simplePos x="0" y="0"/>
                <wp:positionH relativeFrom="column">
                  <wp:posOffset>3005963</wp:posOffset>
                </wp:positionH>
                <wp:positionV relativeFrom="paragraph">
                  <wp:posOffset>380746</wp:posOffset>
                </wp:positionV>
                <wp:extent cx="3462655" cy="4514126"/>
                <wp:effectExtent l="0" t="0" r="23495" b="20320"/>
                <wp:wrapNone/>
                <wp:docPr id="19" name="Text Box 19"/>
                <wp:cNvGraphicFramePr/>
                <a:graphic xmlns:a="http://schemas.openxmlformats.org/drawingml/2006/main">
                  <a:graphicData uri="http://schemas.microsoft.com/office/word/2010/wordprocessingShape">
                    <wps:wsp>
                      <wps:cNvSpPr txBox="1"/>
                      <wps:spPr>
                        <a:xfrm>
                          <a:off x="0" y="0"/>
                          <a:ext cx="3462655" cy="4514126"/>
                        </a:xfrm>
                        <a:prstGeom prst="rect">
                          <a:avLst/>
                        </a:prstGeom>
                        <a:solidFill>
                          <a:sysClr val="window" lastClr="FFFFFF"/>
                        </a:solidFill>
                        <a:ln w="6350">
                          <a:solidFill>
                            <a:prstClr val="black"/>
                          </a:solidFill>
                        </a:ln>
                      </wps:spPr>
                      <wps:txbx>
                        <w:txbxContent>
                          <w:p w:rsidR="00413597" w:rsidRPr="000426D0"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6D0">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Consolidated </w:t>
                            </w:r>
                            <w: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Performance</w:t>
                            </w:r>
                            <w:r w:rsidRPr="000426D0">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Evaluation Report </w:t>
                            </w: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Pr="000426D0" w:rsidRDefault="00413597" w:rsidP="00FC6645">
                            <w:pPr>
                              <w:rPr>
                                <w:rFonts w:ascii="Bahnschrift SemiBold" w:hAnsi="Bahnschrift SemiBold"/>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6D0">
                              <w:rPr>
                                <w:rFonts w:ascii="Bahnschrift SemiBold" w:hAnsi="Bahnschrift SemiBold"/>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CAPER </w:t>
                            </w: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Pr="000426D0"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6D0">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PY20</w:t>
                            </w:r>
                            <w: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p w:rsidR="00413597" w:rsidRPr="008E0A98" w:rsidRDefault="00413597" w:rsidP="00FC6645">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F7EE" id="Text Box 19" o:spid="_x0000_s1030" type="#_x0000_t202" style="position:absolute;margin-left:236.7pt;margin-top:30pt;width:272.65pt;height:35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" fillcolor="window" strokeweight=".5pt">
                <v:textbox>
                  <w:txbxContent>
                    <w:p w:rsidR="00413597" w:rsidRPr="000426D0"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6D0">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Consolidated </w:t>
                      </w:r>
                      <w: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Performance</w:t>
                      </w:r>
                      <w:r w:rsidRPr="000426D0">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Evaluation Report </w:t>
                      </w: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Pr="000426D0" w:rsidRDefault="00413597" w:rsidP="00FC6645">
                      <w:pPr>
                        <w:rPr>
                          <w:rFonts w:ascii="Bahnschrift SemiBold" w:hAnsi="Bahnschrift SemiBold"/>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6D0">
                        <w:rPr>
                          <w:rFonts w:ascii="Bahnschrift SemiBold" w:hAnsi="Bahnschrift SemiBold"/>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CAPER </w:t>
                      </w: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3597" w:rsidRPr="000426D0" w:rsidRDefault="00413597" w:rsidP="00FC6645">
                      <w:pP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6D0">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PY20</w:t>
                      </w:r>
                      <w:r>
                        <w:rPr>
                          <w:rFonts w:ascii="Bahnschrift SemiBold" w:hAnsi="Bahnschrift SemiBold"/>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p w:rsidR="00413597" w:rsidRPr="008E0A98" w:rsidRDefault="00413597" w:rsidP="00FC6645">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bookmarkEnd w:id="0"/>
    </w:p>
    <w:p w:rsidR="00EB40FB" w:rsidRDefault="00FC6645" w:rsidP="00EB40FB">
      <w:pPr>
        <w:rPr>
          <w:rFonts w:cs="Arial"/>
          <w:sz w:val="28"/>
          <w:szCs w:val="28"/>
        </w:rPr>
      </w:pPr>
      <w:r w:rsidRPr="00FC6645">
        <w:rPr>
          <w:rFonts w:asciiTheme="minorHAnsi" w:eastAsiaTheme="minorEastAsia" w:hAnsiTheme="minorHAnsi" w:cstheme="minorBidi"/>
          <w:b/>
          <w:bCs/>
          <w:i/>
          <w:iCs/>
          <w:noProof/>
        </w:rPr>
        <mc:AlternateContent>
          <mc:Choice Requires="wps">
            <w:drawing>
              <wp:anchor distT="0" distB="0" distL="114300" distR="114300" simplePos="0" relativeHeight="251662336" behindDoc="0" locked="0" layoutInCell="1" allowOverlap="1" wp14:anchorId="4638B3FE" wp14:editId="085DFA08">
                <wp:simplePos x="0" y="0"/>
                <wp:positionH relativeFrom="margin">
                  <wp:align>center</wp:align>
                </wp:positionH>
                <wp:positionV relativeFrom="paragraph">
                  <wp:posOffset>5973826</wp:posOffset>
                </wp:positionV>
                <wp:extent cx="6470007" cy="914400"/>
                <wp:effectExtent l="0" t="0" r="26670" b="19050"/>
                <wp:wrapNone/>
                <wp:docPr id="21" name="Text Box 21"/>
                <wp:cNvGraphicFramePr/>
                <a:graphic xmlns:a="http://schemas.openxmlformats.org/drawingml/2006/main">
                  <a:graphicData uri="http://schemas.microsoft.com/office/word/2010/wordprocessingShape">
                    <wps:wsp>
                      <wps:cNvSpPr txBox="1"/>
                      <wps:spPr>
                        <a:xfrm>
                          <a:off x="0" y="0"/>
                          <a:ext cx="6470007" cy="914400"/>
                        </a:xfrm>
                        <a:prstGeom prst="rect">
                          <a:avLst/>
                        </a:prstGeom>
                        <a:solidFill>
                          <a:sysClr val="window" lastClr="FFFFFF"/>
                        </a:solidFill>
                        <a:ln w="6350">
                          <a:solidFill>
                            <a:prstClr val="black"/>
                          </a:solidFill>
                        </a:ln>
                      </wps:spPr>
                      <wps:txbx>
                        <w:txbxContent>
                          <w:p w:rsidR="00413597" w:rsidRPr="000426D0" w:rsidRDefault="00413597" w:rsidP="00FC6645">
                            <w:pPr>
                              <w:shd w:val="clear" w:color="auto" w:fill="B8CCE4" w:themeFill="accent1" w:themeFillTint="66"/>
                              <w:jc w:val="center"/>
                              <w:rPr>
                                <w:rFonts w:ascii="Bahnschrift Light" w:hAnsi="Bahnschrift Light"/>
                                <w:sz w:val="48"/>
                                <w:szCs w:val="48"/>
                              </w:rPr>
                            </w:pPr>
                            <w:r w:rsidRPr="000426D0">
                              <w:rPr>
                                <w:rFonts w:ascii="Bahnschrift Light" w:hAnsi="Bahnschrift Light"/>
                                <w:sz w:val="48"/>
                                <w:szCs w:val="48"/>
                              </w:rPr>
                              <w:t>Community Development Block Grant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B3FE" id="Text Box 21" o:spid="_x0000_s1031" type="#_x0000_t202" style="position:absolute;margin-left:0;margin-top:470.4pt;width:509.45pt;height:1in;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" fillcolor="window" strokeweight=".5pt">
                <v:textbox>
                  <w:txbxContent>
                    <w:p w:rsidR="00413597" w:rsidRPr="000426D0" w:rsidRDefault="00413597" w:rsidP="00FC6645">
                      <w:pPr>
                        <w:shd w:val="clear" w:color="auto" w:fill="B8CCE4" w:themeFill="accent1" w:themeFillTint="66"/>
                        <w:jc w:val="center"/>
                        <w:rPr>
                          <w:rFonts w:ascii="Bahnschrift Light" w:hAnsi="Bahnschrift Light"/>
                          <w:sz w:val="48"/>
                          <w:szCs w:val="48"/>
                        </w:rPr>
                      </w:pPr>
                      <w:r w:rsidRPr="000426D0">
                        <w:rPr>
                          <w:rFonts w:ascii="Bahnschrift Light" w:hAnsi="Bahnschrift Light"/>
                          <w:sz w:val="48"/>
                          <w:szCs w:val="48"/>
                        </w:rPr>
                        <w:t>Community Development Block Grant Program</w:t>
                      </w:r>
                    </w:p>
                  </w:txbxContent>
                </v:textbox>
                <w10:wrap anchorx="margin"/>
              </v:shape>
            </w:pict>
          </mc:Fallback>
        </mc:AlternateContent>
      </w:r>
      <w:r w:rsidR="00EB40FB">
        <w:br w:type="page"/>
      </w:r>
    </w:p>
    <w:p w:rsidR="00403EED" w:rsidRPr="00403EED" w:rsidRDefault="00403EED" w:rsidP="00403EED">
      <w:pPr>
        <w:ind w:firstLine="720"/>
        <w:jc w:val="center"/>
        <w:rPr>
          <w:rFonts w:asciiTheme="minorHAnsi" w:eastAsiaTheme="minorEastAsia" w:hAnsiTheme="minorHAnsi" w:cstheme="minorBidi"/>
          <w:b/>
          <w:sz w:val="40"/>
          <w:szCs w:val="40"/>
        </w:rPr>
      </w:pPr>
      <w:r w:rsidRPr="00403EED">
        <w:rPr>
          <w:rFonts w:asciiTheme="minorHAnsi" w:eastAsiaTheme="minorEastAsia" w:hAnsiTheme="minorHAnsi" w:cstheme="minorBidi"/>
          <w:b/>
          <w:noProof/>
          <w:sz w:val="40"/>
          <w:szCs w:val="40"/>
        </w:rPr>
        <w:lastRenderedPageBreak/>
        <w:drawing>
          <wp:inline distT="0" distB="0" distL="0" distR="0" wp14:anchorId="329B6A33" wp14:editId="0F45EDB6">
            <wp:extent cx="983848" cy="983848"/>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ity of Enid Logo (2).png"/>
                    <pic:cNvPicPr/>
                  </pic:nvPicPr>
                  <pic:blipFill>
                    <a:blip r:embed="rId8">
                      <a:extLst>
                        <a:ext uri="{28A0092B-C50C-407E-A947-70E740481C1C}">
                          <a14:useLocalDpi xmlns:a14="http://schemas.microsoft.com/office/drawing/2010/main" val="0"/>
                        </a:ext>
                      </a:extLst>
                    </a:blip>
                    <a:stretch>
                      <a:fillRect/>
                    </a:stretch>
                  </pic:blipFill>
                  <pic:spPr>
                    <a:xfrm>
                      <a:off x="0" y="0"/>
                      <a:ext cx="1001441" cy="1001441"/>
                    </a:xfrm>
                    <a:prstGeom prst="rect">
                      <a:avLst/>
                    </a:prstGeom>
                  </pic:spPr>
                </pic:pic>
              </a:graphicData>
            </a:graphic>
          </wp:inline>
        </w:drawing>
      </w:r>
    </w:p>
    <w:p w:rsidR="00403EED" w:rsidRPr="00403EED" w:rsidRDefault="00403EED" w:rsidP="00403EED">
      <w:pPr>
        <w:ind w:firstLine="720"/>
        <w:jc w:val="center"/>
        <w:rPr>
          <w:rFonts w:asciiTheme="minorHAnsi" w:eastAsiaTheme="minorEastAsia" w:hAnsiTheme="minorHAnsi" w:cstheme="minorBidi"/>
          <w:b/>
          <w:sz w:val="40"/>
          <w:szCs w:val="40"/>
        </w:rPr>
      </w:pPr>
    </w:p>
    <w:p w:rsidR="00403EED" w:rsidRPr="00403EED" w:rsidRDefault="00403EED" w:rsidP="00403EED">
      <w:pPr>
        <w:ind w:firstLine="720"/>
        <w:jc w:val="center"/>
        <w:rPr>
          <w:rFonts w:asciiTheme="minorHAnsi" w:eastAsiaTheme="minorEastAsia" w:hAnsiTheme="minorHAnsi" w:cstheme="minorBidi"/>
          <w:b/>
          <w:sz w:val="40"/>
          <w:szCs w:val="40"/>
        </w:rPr>
      </w:pPr>
      <w:r w:rsidRPr="00403EED">
        <w:rPr>
          <w:rFonts w:asciiTheme="minorHAnsi" w:eastAsiaTheme="minorEastAsia" w:hAnsiTheme="minorHAnsi" w:cstheme="minorBidi"/>
          <w:b/>
          <w:sz w:val="40"/>
          <w:szCs w:val="40"/>
        </w:rPr>
        <w:t xml:space="preserve">Mayor </w:t>
      </w:r>
      <w:r w:rsidR="00B866F0" w:rsidRPr="00403EED">
        <w:rPr>
          <w:rFonts w:asciiTheme="minorHAnsi" w:eastAsiaTheme="minorEastAsia" w:hAnsiTheme="minorHAnsi" w:cstheme="minorBidi"/>
          <w:b/>
          <w:sz w:val="40"/>
          <w:szCs w:val="40"/>
        </w:rPr>
        <w:t xml:space="preserve">– </w:t>
      </w:r>
      <w:r w:rsidR="005A64C5">
        <w:rPr>
          <w:rFonts w:asciiTheme="minorHAnsi" w:eastAsiaTheme="minorEastAsia" w:hAnsiTheme="minorHAnsi" w:cstheme="minorBidi"/>
          <w:b/>
          <w:sz w:val="40"/>
          <w:szCs w:val="40"/>
        </w:rPr>
        <w:t>David M. Mason</w:t>
      </w:r>
    </w:p>
    <w:p w:rsidR="00403EED" w:rsidRPr="00403EED" w:rsidRDefault="00403EED" w:rsidP="00403EED">
      <w:pPr>
        <w:jc w:val="center"/>
        <w:rPr>
          <w:rFonts w:asciiTheme="minorHAnsi" w:eastAsiaTheme="minorEastAsia" w:hAnsiTheme="minorHAnsi" w:cstheme="minorBidi"/>
          <w:b/>
          <w:sz w:val="40"/>
          <w:szCs w:val="40"/>
        </w:rPr>
      </w:pPr>
      <w:r w:rsidRPr="00403EED">
        <w:rPr>
          <w:rFonts w:asciiTheme="minorHAnsi" w:eastAsiaTheme="minorEastAsia" w:hAnsiTheme="minorHAnsi" w:cstheme="minorBidi"/>
          <w:sz w:val="40"/>
          <w:szCs w:val="40"/>
        </w:rPr>
        <w:t xml:space="preserve">City Manager </w:t>
      </w:r>
      <w:r w:rsidR="00B866F0" w:rsidRPr="00403EED">
        <w:rPr>
          <w:rFonts w:asciiTheme="minorHAnsi" w:eastAsiaTheme="minorEastAsia" w:hAnsiTheme="minorHAnsi" w:cstheme="minorBidi"/>
          <w:sz w:val="40"/>
          <w:szCs w:val="40"/>
        </w:rPr>
        <w:t>- Jerald</w:t>
      </w:r>
      <w:r w:rsidRPr="00403EED">
        <w:rPr>
          <w:rFonts w:asciiTheme="minorHAnsi" w:eastAsiaTheme="minorEastAsia" w:hAnsiTheme="minorHAnsi" w:cstheme="minorBidi"/>
          <w:sz w:val="40"/>
          <w:szCs w:val="40"/>
        </w:rPr>
        <w:t xml:space="preserve"> Gilbert</w:t>
      </w:r>
      <w:r w:rsidRPr="00403EED">
        <w:rPr>
          <w:rFonts w:asciiTheme="minorHAnsi" w:eastAsiaTheme="minorEastAsia" w:hAnsiTheme="minorHAnsi" w:cstheme="minorBidi"/>
          <w:b/>
          <w:sz w:val="40"/>
          <w:szCs w:val="40"/>
        </w:rPr>
        <w:t xml:space="preserve"> </w:t>
      </w:r>
    </w:p>
    <w:p w:rsidR="00403EED" w:rsidRPr="00403EED" w:rsidRDefault="00403EED" w:rsidP="00403EED">
      <w:pPr>
        <w:jc w:val="center"/>
        <w:rPr>
          <w:rFonts w:asciiTheme="minorHAnsi" w:eastAsiaTheme="minorEastAsia" w:hAnsiTheme="minorHAnsi" w:cstheme="minorBidi"/>
          <w:sz w:val="40"/>
          <w:szCs w:val="40"/>
        </w:rPr>
      </w:pPr>
      <w:r w:rsidRPr="00403EED">
        <w:rPr>
          <w:rFonts w:asciiTheme="minorHAnsi" w:eastAsiaTheme="minorEastAsia" w:hAnsiTheme="minorHAnsi" w:cstheme="minorBidi"/>
          <w:sz w:val="40"/>
          <w:szCs w:val="40"/>
        </w:rPr>
        <w:t>Assistant City Manager</w:t>
      </w:r>
      <w:r w:rsidR="00B866F0">
        <w:rPr>
          <w:rFonts w:asciiTheme="minorHAnsi" w:eastAsiaTheme="minorEastAsia" w:hAnsiTheme="minorHAnsi" w:cstheme="minorBidi"/>
          <w:sz w:val="40"/>
          <w:szCs w:val="40"/>
        </w:rPr>
        <w:t xml:space="preserve"> </w:t>
      </w:r>
      <w:r w:rsidR="00B866F0" w:rsidRPr="00403EED">
        <w:rPr>
          <w:rFonts w:asciiTheme="minorHAnsi" w:eastAsiaTheme="minorEastAsia" w:hAnsiTheme="minorHAnsi" w:cstheme="minorBidi"/>
          <w:sz w:val="40"/>
          <w:szCs w:val="40"/>
        </w:rPr>
        <w:t>- Scott</w:t>
      </w:r>
      <w:r w:rsidRPr="00403EED">
        <w:rPr>
          <w:rFonts w:asciiTheme="minorHAnsi" w:eastAsiaTheme="minorEastAsia" w:hAnsiTheme="minorHAnsi" w:cstheme="minorBidi"/>
          <w:sz w:val="40"/>
          <w:szCs w:val="40"/>
        </w:rPr>
        <w:t xml:space="preserve"> Morris  </w:t>
      </w:r>
    </w:p>
    <w:p w:rsidR="00403EED" w:rsidRPr="00403EED" w:rsidRDefault="00403EED" w:rsidP="00403EED">
      <w:pPr>
        <w:jc w:val="center"/>
        <w:rPr>
          <w:rFonts w:asciiTheme="minorHAnsi" w:eastAsiaTheme="minorEastAsia" w:hAnsiTheme="minorHAnsi" w:cstheme="minorBidi"/>
          <w:b/>
          <w:sz w:val="40"/>
          <w:szCs w:val="40"/>
        </w:rPr>
      </w:pPr>
    </w:p>
    <w:p w:rsidR="00403EED" w:rsidRPr="00403EED" w:rsidRDefault="00403EED" w:rsidP="00403EED">
      <w:pPr>
        <w:jc w:val="center"/>
        <w:rPr>
          <w:rFonts w:asciiTheme="minorHAnsi" w:eastAsiaTheme="minorEastAsia" w:hAnsiTheme="minorHAnsi" w:cstheme="minorBidi"/>
          <w:sz w:val="32"/>
          <w:szCs w:val="32"/>
          <w:u w:val="single"/>
        </w:rPr>
      </w:pPr>
      <w:r w:rsidRPr="00403EED">
        <w:rPr>
          <w:rFonts w:asciiTheme="minorHAnsi" w:eastAsiaTheme="minorEastAsia" w:hAnsiTheme="minorHAnsi" w:cstheme="minorBidi"/>
          <w:sz w:val="32"/>
          <w:szCs w:val="32"/>
          <w:u w:val="single"/>
        </w:rPr>
        <w:t>Commissioners</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 xml:space="preserve">Ward 1 – </w:t>
      </w:r>
      <w:r w:rsidR="005A64C5">
        <w:rPr>
          <w:rFonts w:asciiTheme="minorHAnsi" w:eastAsiaTheme="minorEastAsia" w:hAnsiTheme="minorHAnsi" w:cstheme="minorBidi"/>
          <w:sz w:val="32"/>
          <w:szCs w:val="32"/>
        </w:rPr>
        <w:t>Judd Blevins</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Ward 2 – Derwin Norwood</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Ward 3 – Keith Siragusa</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Ward 4 – Whitney Roberts</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Ward 5 – Rob Stallings</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 xml:space="preserve">Ward 6 – Scott Orr </w:t>
      </w:r>
    </w:p>
    <w:p w:rsidR="00403EED" w:rsidRPr="00403EED" w:rsidRDefault="00403EED" w:rsidP="00403EED">
      <w:pPr>
        <w:jc w:val="center"/>
        <w:rPr>
          <w:rFonts w:asciiTheme="minorHAnsi" w:eastAsiaTheme="minorEastAsia" w:hAnsiTheme="minorHAnsi" w:cstheme="minorBidi"/>
          <w:sz w:val="36"/>
          <w:szCs w:val="36"/>
        </w:rPr>
      </w:pPr>
    </w:p>
    <w:p w:rsidR="00403EED" w:rsidRPr="00403EED" w:rsidRDefault="006873B3" w:rsidP="00403EED">
      <w:pPr>
        <w:jc w:val="center"/>
        <w:rPr>
          <w:rFonts w:asciiTheme="minorHAnsi" w:eastAsiaTheme="minorEastAsia" w:hAnsiTheme="minorHAnsi" w:cstheme="minorBidi"/>
          <w:sz w:val="40"/>
          <w:szCs w:val="40"/>
        </w:rPr>
      </w:pPr>
      <w:r>
        <w:rPr>
          <w:rFonts w:asciiTheme="minorHAnsi" w:eastAsiaTheme="minorEastAsia" w:hAnsiTheme="minorHAnsi" w:cstheme="minorBidi"/>
          <w:sz w:val="40"/>
          <w:szCs w:val="40"/>
        </w:rPr>
        <w:t>Laura Girty</w:t>
      </w:r>
      <w:r w:rsidR="00403EED" w:rsidRPr="00403EED">
        <w:rPr>
          <w:rFonts w:asciiTheme="minorHAnsi" w:eastAsiaTheme="minorEastAsia" w:hAnsiTheme="minorHAnsi" w:cstheme="minorBidi"/>
          <w:sz w:val="40"/>
          <w:szCs w:val="40"/>
        </w:rPr>
        <w:t xml:space="preserve"> - CDBG </w:t>
      </w:r>
      <w:r w:rsidR="005A64C5">
        <w:rPr>
          <w:rFonts w:asciiTheme="minorHAnsi" w:eastAsiaTheme="minorEastAsia" w:hAnsiTheme="minorHAnsi" w:cstheme="minorBidi"/>
          <w:sz w:val="40"/>
          <w:szCs w:val="40"/>
        </w:rPr>
        <w:t>Coordinator</w:t>
      </w:r>
    </w:p>
    <w:p w:rsidR="00403EED" w:rsidRPr="00403EED" w:rsidRDefault="00403EED" w:rsidP="00403EED">
      <w:pPr>
        <w:jc w:val="center"/>
        <w:rPr>
          <w:rFonts w:asciiTheme="minorHAnsi" w:eastAsiaTheme="minorEastAsia" w:hAnsiTheme="minorHAnsi" w:cstheme="minorBidi"/>
          <w:b/>
          <w:sz w:val="36"/>
          <w:szCs w:val="36"/>
        </w:rPr>
      </w:pP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 xml:space="preserve">(580) </w:t>
      </w:r>
      <w:r w:rsidR="006873B3">
        <w:rPr>
          <w:rFonts w:asciiTheme="minorHAnsi" w:eastAsiaTheme="minorEastAsia" w:hAnsiTheme="minorHAnsi" w:cstheme="minorBidi"/>
          <w:sz w:val="32"/>
          <w:szCs w:val="32"/>
        </w:rPr>
        <w:t>616-7211</w:t>
      </w:r>
    </w:p>
    <w:p w:rsidR="00403EED" w:rsidRPr="00403EED" w:rsidRDefault="00413597" w:rsidP="00403EED">
      <w:pPr>
        <w:jc w:val="center"/>
        <w:rPr>
          <w:rFonts w:asciiTheme="minorHAnsi" w:eastAsiaTheme="minorEastAsia" w:hAnsiTheme="minorHAnsi" w:cstheme="minorBidi"/>
          <w:sz w:val="32"/>
          <w:szCs w:val="32"/>
        </w:rPr>
      </w:pPr>
      <w:hyperlink r:id="rId9" w:history="1">
        <w:r w:rsidR="006873B3" w:rsidRPr="00A061B5">
          <w:rPr>
            <w:rStyle w:val="Hyperlink"/>
            <w:rFonts w:asciiTheme="minorHAnsi" w:eastAsiaTheme="minorEastAsia" w:hAnsiTheme="minorHAnsi"/>
            <w:sz w:val="32"/>
            <w:szCs w:val="32"/>
          </w:rPr>
          <w:t>lgirty@enid.org</w:t>
        </w:r>
      </w:hyperlink>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 xml:space="preserve">P.O. Box 1768 </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401 W. Owen K. Garriott Road</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Enid, OK 73702</w:t>
      </w:r>
    </w:p>
    <w:p w:rsidR="00403EED" w:rsidRPr="00403EED" w:rsidRDefault="00403EED" w:rsidP="00403EED">
      <w:pPr>
        <w:jc w:val="cente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www.enid.org</w:t>
      </w:r>
    </w:p>
    <w:p w:rsidR="00403EED" w:rsidRPr="00403EED" w:rsidRDefault="00403EED" w:rsidP="00403EED">
      <w:pPr>
        <w:rPr>
          <w:rFonts w:asciiTheme="minorHAnsi" w:eastAsiaTheme="minorEastAsia" w:hAnsiTheme="minorHAnsi" w:cstheme="minorBidi"/>
          <w:b/>
          <w:bCs/>
          <w:i/>
          <w:iCs/>
        </w:rPr>
      </w:pPr>
    </w:p>
    <w:p w:rsidR="00403EED" w:rsidRPr="00403EED" w:rsidRDefault="00403EED" w:rsidP="00403EED">
      <w:pPr>
        <w:rPr>
          <w:rFonts w:asciiTheme="minorHAnsi" w:eastAsiaTheme="minorEastAsia" w:hAnsiTheme="minorHAnsi" w:cstheme="minorBidi"/>
        </w:rPr>
      </w:pPr>
    </w:p>
    <w:p w:rsidR="00403EED" w:rsidRPr="00403EED" w:rsidRDefault="00403EED" w:rsidP="00403EED">
      <w:pPr>
        <w:spacing w:after="160" w:line="259" w:lineRule="auto"/>
        <w:jc w:val="right"/>
        <w:rPr>
          <w:rFonts w:asciiTheme="minorHAnsi" w:eastAsiaTheme="minorEastAsia" w:hAnsiTheme="minorHAnsi" w:cstheme="minorBidi"/>
          <w:sz w:val="32"/>
          <w:szCs w:val="32"/>
        </w:rPr>
      </w:pPr>
      <w:r w:rsidRPr="00403EED">
        <w:rPr>
          <w:rFonts w:asciiTheme="minorHAnsi" w:eastAsiaTheme="minorEastAsia" w:hAnsiTheme="minorHAnsi" w:cstheme="minorBidi"/>
          <w:noProof/>
        </w:rPr>
        <w:drawing>
          <wp:anchor distT="0" distB="0" distL="114300" distR="114300" simplePos="0" relativeHeight="251664384" behindDoc="0" locked="0" layoutInCell="1" allowOverlap="1" wp14:anchorId="08BD2807" wp14:editId="5BB53DE7">
            <wp:simplePos x="0" y="0"/>
            <wp:positionH relativeFrom="margin">
              <wp:posOffset>2349500</wp:posOffset>
            </wp:positionH>
            <wp:positionV relativeFrom="margin">
              <wp:posOffset>6979285</wp:posOffset>
            </wp:positionV>
            <wp:extent cx="1124585" cy="1134110"/>
            <wp:effectExtent l="0" t="0" r="0" b="8890"/>
            <wp:wrapSquare wrapText="bothSides"/>
            <wp:docPr id="24" name="Picture 24" descr="C:\Users\scarr\Pictures\CDBG Logos\HU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arr\Pictures\CDBG Logos\HUD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458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EED">
        <w:rPr>
          <w:rFonts w:asciiTheme="minorHAnsi" w:eastAsiaTheme="minorEastAsia" w:hAnsiTheme="minorHAnsi" w:cstheme="minorBidi"/>
        </w:rPr>
        <w:br w:type="page"/>
      </w:r>
    </w:p>
    <w:sdt>
      <w:sdtPr>
        <w:rPr>
          <w:rFonts w:asciiTheme="minorHAnsi" w:eastAsiaTheme="minorEastAsia" w:hAnsiTheme="minorHAnsi" w:cstheme="minorBidi"/>
          <w:color w:val="auto"/>
          <w:sz w:val="22"/>
          <w:szCs w:val="22"/>
        </w:rPr>
        <w:id w:val="1787538843"/>
        <w:docPartObj>
          <w:docPartGallery w:val="Table of Contents"/>
          <w:docPartUnique/>
        </w:docPartObj>
      </w:sdtPr>
      <w:sdtEndPr>
        <w:rPr>
          <w:rFonts w:ascii="Calibri" w:eastAsia="Calibri" w:hAnsi="Calibri" w:cs="Times New Roman"/>
          <w:b/>
          <w:bCs/>
          <w:noProof/>
        </w:rPr>
      </w:sdtEndPr>
      <w:sdtContent>
        <w:p w:rsidR="00BB4F70" w:rsidRDefault="00BB4F70" w:rsidP="00BB4F70">
          <w:pPr>
            <w:pStyle w:val="TOCHeading"/>
          </w:pPr>
          <w:r w:rsidRPr="0048349E">
            <w:rPr>
              <w:highlight w:val="yellow"/>
            </w:rPr>
            <w:t>Table of Contents</w:t>
          </w:r>
        </w:p>
        <w:bookmarkStart w:id="1" w:name="_Hlk113960856"/>
        <w:p w:rsidR="00413597" w:rsidRPr="00413597" w:rsidRDefault="00BB4F70" w:rsidP="00413597">
          <w:pPr>
            <w:pStyle w:val="TOC2"/>
            <w:tabs>
              <w:tab w:val="right" w:leader="dot" w:pos="9350"/>
            </w:tabs>
            <w:rPr>
              <w:noProof/>
            </w:rPr>
          </w:pPr>
          <w:r>
            <w:fldChar w:fldCharType="begin"/>
          </w:r>
          <w:r>
            <w:instrText xml:space="preserve"> TOC \o "1-3" \h \z \u </w:instrText>
          </w:r>
          <w:r>
            <w:fldChar w:fldCharType="separate"/>
          </w:r>
        </w:p>
        <w:p w:rsidR="00413597" w:rsidRDefault="00413597">
          <w:pPr>
            <w:pStyle w:val="TOC2"/>
            <w:tabs>
              <w:tab w:val="right" w:leader="dot" w:pos="9350"/>
            </w:tabs>
            <w:rPr>
              <w:rFonts w:asciiTheme="minorHAnsi" w:eastAsiaTheme="minorEastAsia" w:hAnsiTheme="minorHAnsi" w:cstheme="minorBidi"/>
              <w:noProof/>
            </w:rPr>
          </w:pPr>
          <w:hyperlink w:anchor="_Toc143516183" w:history="1">
            <w:r w:rsidRPr="000E76ED">
              <w:rPr>
                <w:rStyle w:val="Hyperlink"/>
                <w:noProof/>
              </w:rPr>
              <w:t xml:space="preserve">Publication/posting </w:t>
            </w:r>
            <w:r w:rsidRPr="000E76ED">
              <w:rPr>
                <w:rStyle w:val="Hyperlink"/>
                <w:noProof/>
                <w:highlight w:val="yellow"/>
              </w:rPr>
              <w:t>September 14</w:t>
            </w:r>
            <w:r w:rsidRPr="000E76ED">
              <w:rPr>
                <w:rStyle w:val="Hyperlink"/>
                <w:noProof/>
              </w:rPr>
              <w:t>, 2023, Enid News &amp; Eagle</w:t>
            </w:r>
            <w:r>
              <w:rPr>
                <w:noProof/>
                <w:webHidden/>
              </w:rPr>
              <w:tab/>
            </w:r>
            <w:r>
              <w:rPr>
                <w:noProof/>
                <w:webHidden/>
              </w:rPr>
              <w:fldChar w:fldCharType="begin"/>
            </w:r>
            <w:r>
              <w:rPr>
                <w:noProof/>
                <w:webHidden/>
              </w:rPr>
              <w:instrText xml:space="preserve"> PAGEREF _Toc143516183 \h </w:instrText>
            </w:r>
            <w:r>
              <w:rPr>
                <w:noProof/>
                <w:webHidden/>
              </w:rPr>
            </w:r>
            <w:r>
              <w:rPr>
                <w:noProof/>
                <w:webHidden/>
              </w:rPr>
              <w:fldChar w:fldCharType="separate"/>
            </w:r>
            <w:r>
              <w:rPr>
                <w:noProof/>
                <w:webHidden/>
              </w:rPr>
              <w:t>5</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84" w:history="1">
            <w:r w:rsidRPr="000E76ED">
              <w:rPr>
                <w:rStyle w:val="Hyperlink"/>
                <w:noProof/>
              </w:rPr>
              <w:t>CR-05 - Goals and Outcomes</w:t>
            </w:r>
            <w:r>
              <w:rPr>
                <w:noProof/>
                <w:webHidden/>
              </w:rPr>
              <w:tab/>
            </w:r>
            <w:r>
              <w:rPr>
                <w:noProof/>
                <w:webHidden/>
              </w:rPr>
              <w:fldChar w:fldCharType="begin"/>
            </w:r>
            <w:r>
              <w:rPr>
                <w:noProof/>
                <w:webHidden/>
              </w:rPr>
              <w:instrText xml:space="preserve"> PAGEREF _Toc143516184 \h </w:instrText>
            </w:r>
            <w:r>
              <w:rPr>
                <w:noProof/>
                <w:webHidden/>
              </w:rPr>
            </w:r>
            <w:r>
              <w:rPr>
                <w:noProof/>
                <w:webHidden/>
              </w:rPr>
              <w:fldChar w:fldCharType="separate"/>
            </w:r>
            <w:r>
              <w:rPr>
                <w:noProof/>
                <w:webHidden/>
              </w:rPr>
              <w:t>6</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85" w:history="1">
            <w:r w:rsidRPr="000E76ED">
              <w:rPr>
                <w:rStyle w:val="Hyperlink"/>
                <w:noProof/>
              </w:rPr>
              <w:t>CR-10 - Racial and Ethnic composition of families assisted</w:t>
            </w:r>
            <w:r>
              <w:rPr>
                <w:noProof/>
                <w:webHidden/>
              </w:rPr>
              <w:tab/>
            </w:r>
            <w:r>
              <w:rPr>
                <w:noProof/>
                <w:webHidden/>
              </w:rPr>
              <w:fldChar w:fldCharType="begin"/>
            </w:r>
            <w:r>
              <w:rPr>
                <w:noProof/>
                <w:webHidden/>
              </w:rPr>
              <w:instrText xml:space="preserve"> PAGEREF _Toc143516185 \h </w:instrText>
            </w:r>
            <w:r>
              <w:rPr>
                <w:noProof/>
                <w:webHidden/>
              </w:rPr>
            </w:r>
            <w:r>
              <w:rPr>
                <w:noProof/>
                <w:webHidden/>
              </w:rPr>
              <w:fldChar w:fldCharType="separate"/>
            </w:r>
            <w:r>
              <w:rPr>
                <w:noProof/>
                <w:webHidden/>
              </w:rPr>
              <w:t>11</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86" w:history="1">
            <w:r w:rsidRPr="000E76ED">
              <w:rPr>
                <w:rStyle w:val="Hyperlink"/>
                <w:noProof/>
              </w:rPr>
              <w:t>CR-15 - Resources and Investments 91.520(a)</w:t>
            </w:r>
            <w:r>
              <w:rPr>
                <w:noProof/>
                <w:webHidden/>
              </w:rPr>
              <w:tab/>
            </w:r>
            <w:r>
              <w:rPr>
                <w:noProof/>
                <w:webHidden/>
              </w:rPr>
              <w:fldChar w:fldCharType="begin"/>
            </w:r>
            <w:r>
              <w:rPr>
                <w:noProof/>
                <w:webHidden/>
              </w:rPr>
              <w:instrText xml:space="preserve"> PAGEREF _Toc143516186 \h </w:instrText>
            </w:r>
            <w:r>
              <w:rPr>
                <w:noProof/>
                <w:webHidden/>
              </w:rPr>
            </w:r>
            <w:r>
              <w:rPr>
                <w:noProof/>
                <w:webHidden/>
              </w:rPr>
              <w:fldChar w:fldCharType="separate"/>
            </w:r>
            <w:r>
              <w:rPr>
                <w:noProof/>
                <w:webHidden/>
              </w:rPr>
              <w:t>12</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87" w:history="1">
            <w:r w:rsidRPr="000E76ED">
              <w:rPr>
                <w:rStyle w:val="Hyperlink"/>
                <w:noProof/>
              </w:rPr>
              <w:t>CR-20 - Affordable Housing 91.520(b)</w:t>
            </w:r>
            <w:r>
              <w:rPr>
                <w:noProof/>
                <w:webHidden/>
              </w:rPr>
              <w:tab/>
            </w:r>
            <w:r>
              <w:rPr>
                <w:noProof/>
                <w:webHidden/>
              </w:rPr>
              <w:fldChar w:fldCharType="begin"/>
            </w:r>
            <w:r>
              <w:rPr>
                <w:noProof/>
                <w:webHidden/>
              </w:rPr>
              <w:instrText xml:space="preserve"> PAGEREF _Toc143516187 \h </w:instrText>
            </w:r>
            <w:r>
              <w:rPr>
                <w:noProof/>
                <w:webHidden/>
              </w:rPr>
            </w:r>
            <w:r>
              <w:rPr>
                <w:noProof/>
                <w:webHidden/>
              </w:rPr>
              <w:fldChar w:fldCharType="separate"/>
            </w:r>
            <w:r>
              <w:rPr>
                <w:noProof/>
                <w:webHidden/>
              </w:rPr>
              <w:t>13</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88" w:history="1">
            <w:r w:rsidRPr="000E76ED">
              <w:rPr>
                <w:rStyle w:val="Hyperlink"/>
                <w:noProof/>
              </w:rPr>
              <w:t>CR-25 - Homeless and Other Special Needs 91.220(d, e); 91.320(d, e); 91.520(c)</w:t>
            </w:r>
            <w:r>
              <w:rPr>
                <w:noProof/>
                <w:webHidden/>
              </w:rPr>
              <w:tab/>
            </w:r>
            <w:r>
              <w:rPr>
                <w:noProof/>
                <w:webHidden/>
              </w:rPr>
              <w:fldChar w:fldCharType="begin"/>
            </w:r>
            <w:r>
              <w:rPr>
                <w:noProof/>
                <w:webHidden/>
              </w:rPr>
              <w:instrText xml:space="preserve"> PAGEREF _Toc143516188 \h </w:instrText>
            </w:r>
            <w:r>
              <w:rPr>
                <w:noProof/>
                <w:webHidden/>
              </w:rPr>
            </w:r>
            <w:r>
              <w:rPr>
                <w:noProof/>
                <w:webHidden/>
              </w:rPr>
              <w:fldChar w:fldCharType="separate"/>
            </w:r>
            <w:r>
              <w:rPr>
                <w:noProof/>
                <w:webHidden/>
              </w:rPr>
              <w:t>16</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89" w:history="1">
            <w:r w:rsidRPr="000E76ED">
              <w:rPr>
                <w:rStyle w:val="Hyperlink"/>
                <w:noProof/>
              </w:rPr>
              <w:t>CR-30 - Public Housing 91.220(h); 91.320(j)</w:t>
            </w:r>
            <w:r>
              <w:rPr>
                <w:noProof/>
                <w:webHidden/>
              </w:rPr>
              <w:tab/>
            </w:r>
            <w:r>
              <w:rPr>
                <w:noProof/>
                <w:webHidden/>
              </w:rPr>
              <w:fldChar w:fldCharType="begin"/>
            </w:r>
            <w:r>
              <w:rPr>
                <w:noProof/>
                <w:webHidden/>
              </w:rPr>
              <w:instrText xml:space="preserve"> PAGEREF _Toc143516189 \h </w:instrText>
            </w:r>
            <w:r>
              <w:rPr>
                <w:noProof/>
                <w:webHidden/>
              </w:rPr>
            </w:r>
            <w:r>
              <w:rPr>
                <w:noProof/>
                <w:webHidden/>
              </w:rPr>
              <w:fldChar w:fldCharType="separate"/>
            </w:r>
            <w:r>
              <w:rPr>
                <w:noProof/>
                <w:webHidden/>
              </w:rPr>
              <w:t>18</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90" w:history="1">
            <w:r w:rsidRPr="000E76ED">
              <w:rPr>
                <w:rStyle w:val="Hyperlink"/>
                <w:noProof/>
              </w:rPr>
              <w:t>CR-35 - Other Actions 91.220(j)-(k); 91.320(i)-(j)</w:t>
            </w:r>
            <w:r>
              <w:rPr>
                <w:noProof/>
                <w:webHidden/>
              </w:rPr>
              <w:tab/>
            </w:r>
            <w:r>
              <w:rPr>
                <w:noProof/>
                <w:webHidden/>
              </w:rPr>
              <w:fldChar w:fldCharType="begin"/>
            </w:r>
            <w:r>
              <w:rPr>
                <w:noProof/>
                <w:webHidden/>
              </w:rPr>
              <w:instrText xml:space="preserve"> PAGEREF _Toc143516190 \h </w:instrText>
            </w:r>
            <w:r>
              <w:rPr>
                <w:noProof/>
                <w:webHidden/>
              </w:rPr>
            </w:r>
            <w:r>
              <w:rPr>
                <w:noProof/>
                <w:webHidden/>
              </w:rPr>
              <w:fldChar w:fldCharType="separate"/>
            </w:r>
            <w:r>
              <w:rPr>
                <w:noProof/>
                <w:webHidden/>
              </w:rPr>
              <w:t>19</w:t>
            </w:r>
            <w:r>
              <w:rPr>
                <w:noProof/>
                <w:webHidden/>
              </w:rPr>
              <w:fldChar w:fldCharType="end"/>
            </w:r>
          </w:hyperlink>
        </w:p>
        <w:p w:rsidR="00413597" w:rsidRDefault="00413597">
          <w:pPr>
            <w:pStyle w:val="TOC2"/>
            <w:tabs>
              <w:tab w:val="right" w:leader="dot" w:pos="9350"/>
            </w:tabs>
            <w:rPr>
              <w:rFonts w:asciiTheme="minorHAnsi" w:eastAsiaTheme="minorEastAsia" w:hAnsiTheme="minorHAnsi" w:cstheme="minorBidi"/>
              <w:noProof/>
            </w:rPr>
          </w:pPr>
          <w:hyperlink w:anchor="_Toc143516191" w:history="1">
            <w:r w:rsidRPr="000E76ED">
              <w:rPr>
                <w:rStyle w:val="Hyperlink"/>
                <w:noProof/>
              </w:rPr>
              <w:t>CR-40 - Monitoring 91.220 and 91.230</w:t>
            </w:r>
            <w:r>
              <w:rPr>
                <w:noProof/>
                <w:webHidden/>
              </w:rPr>
              <w:tab/>
            </w:r>
            <w:r>
              <w:rPr>
                <w:noProof/>
                <w:webHidden/>
              </w:rPr>
              <w:fldChar w:fldCharType="begin"/>
            </w:r>
            <w:r>
              <w:rPr>
                <w:noProof/>
                <w:webHidden/>
              </w:rPr>
              <w:instrText xml:space="preserve"> PAGEREF _Toc143516191 \h </w:instrText>
            </w:r>
            <w:r>
              <w:rPr>
                <w:noProof/>
                <w:webHidden/>
              </w:rPr>
            </w:r>
            <w:r>
              <w:rPr>
                <w:noProof/>
                <w:webHidden/>
              </w:rPr>
              <w:fldChar w:fldCharType="separate"/>
            </w:r>
            <w:r>
              <w:rPr>
                <w:noProof/>
                <w:webHidden/>
              </w:rPr>
              <w:t>24</w:t>
            </w:r>
            <w:r>
              <w:rPr>
                <w:noProof/>
                <w:webHidden/>
              </w:rPr>
              <w:fldChar w:fldCharType="end"/>
            </w:r>
          </w:hyperlink>
        </w:p>
        <w:p w:rsidR="00BB4F70" w:rsidRDefault="00BB4F70" w:rsidP="00BB4F70">
          <w:pPr>
            <w:rPr>
              <w:b/>
              <w:bCs/>
              <w:noProof/>
            </w:rPr>
          </w:pPr>
          <w:r>
            <w:rPr>
              <w:b/>
              <w:bCs/>
              <w:noProof/>
            </w:rPr>
            <w:fldChar w:fldCharType="end"/>
          </w:r>
        </w:p>
      </w:sdtContent>
    </w:sdt>
    <w:bookmarkEnd w:id="1" w:displacedByCustomXml="prev"/>
    <w:p w:rsidR="00403EED" w:rsidRDefault="00403EED" w:rsidP="00403EED">
      <w:pPr>
        <w:rPr>
          <w:rFonts w:cs="Arial"/>
          <w:sz w:val="28"/>
          <w:szCs w:val="28"/>
        </w:rPr>
      </w:pPr>
      <w:r>
        <w:br w:type="page"/>
      </w:r>
    </w:p>
    <w:p w:rsidR="00413597" w:rsidRPr="00403EED" w:rsidRDefault="00413597" w:rsidP="00413597">
      <w:pPr>
        <w:spacing w:after="160" w:line="259" w:lineRule="auto"/>
        <w:jc w:val="both"/>
        <w:rPr>
          <w:rFonts w:asciiTheme="minorHAnsi" w:eastAsiaTheme="minorEastAsia" w:hAnsiTheme="minorHAnsi" w:cstheme="minorBidi"/>
          <w:sz w:val="28"/>
          <w:szCs w:val="28"/>
        </w:rPr>
      </w:pPr>
      <w:r w:rsidRPr="00403EED">
        <w:rPr>
          <w:rFonts w:asciiTheme="minorHAnsi" w:eastAsiaTheme="minorEastAsia" w:hAnsiTheme="minorHAnsi" w:cstheme="minorBidi"/>
          <w:sz w:val="28"/>
          <w:szCs w:val="28"/>
        </w:rPr>
        <w:lastRenderedPageBreak/>
        <w:t>The final version of Enid’s Consolidated Annual Performance and Evaluation Report (CAPER) presents information and figures for the CDBG program year 20</w:t>
      </w:r>
      <w:r>
        <w:rPr>
          <w:rFonts w:asciiTheme="minorHAnsi" w:eastAsiaTheme="minorEastAsia" w:hAnsiTheme="minorHAnsi" w:cstheme="minorBidi"/>
          <w:sz w:val="28"/>
          <w:szCs w:val="28"/>
        </w:rPr>
        <w:t>22</w:t>
      </w:r>
      <w:r w:rsidRPr="00403EED">
        <w:rPr>
          <w:rFonts w:asciiTheme="minorHAnsi" w:eastAsiaTheme="minorEastAsia" w:hAnsiTheme="minorHAnsi" w:cstheme="minorBidi"/>
          <w:sz w:val="28"/>
          <w:szCs w:val="28"/>
        </w:rPr>
        <w:t>, on accomplishments and expenses for activities and projects conducted during the period of July 1, 20</w:t>
      </w:r>
      <w:r>
        <w:rPr>
          <w:rFonts w:asciiTheme="minorHAnsi" w:eastAsiaTheme="minorEastAsia" w:hAnsiTheme="minorHAnsi" w:cstheme="minorBidi"/>
          <w:sz w:val="28"/>
          <w:szCs w:val="28"/>
        </w:rPr>
        <w:t>22</w:t>
      </w:r>
      <w:r w:rsidRPr="00403EED">
        <w:rPr>
          <w:rFonts w:asciiTheme="minorHAnsi" w:eastAsiaTheme="minorEastAsia" w:hAnsiTheme="minorHAnsi" w:cstheme="minorBidi"/>
          <w:sz w:val="28"/>
          <w:szCs w:val="28"/>
        </w:rPr>
        <w:t>, through June 30, 202</w:t>
      </w:r>
      <w:r>
        <w:rPr>
          <w:rFonts w:asciiTheme="minorHAnsi" w:eastAsiaTheme="minorEastAsia" w:hAnsiTheme="minorHAnsi" w:cstheme="minorBidi"/>
          <w:sz w:val="28"/>
          <w:szCs w:val="28"/>
        </w:rPr>
        <w:t>3</w:t>
      </w:r>
      <w:r w:rsidRPr="00403EED">
        <w:rPr>
          <w:rFonts w:asciiTheme="minorHAnsi" w:eastAsiaTheme="minorEastAsia" w:hAnsiTheme="minorHAnsi" w:cstheme="minorBidi"/>
          <w:sz w:val="28"/>
          <w:szCs w:val="28"/>
        </w:rPr>
        <w:t xml:space="preserve">. All information and public comments received are incorporated into the final version prior to its submittal to HUD on or before September </w:t>
      </w:r>
      <w:r>
        <w:rPr>
          <w:rFonts w:asciiTheme="minorHAnsi" w:eastAsiaTheme="minorEastAsia" w:hAnsiTheme="minorHAnsi" w:cstheme="minorBidi"/>
          <w:sz w:val="28"/>
          <w:szCs w:val="28"/>
        </w:rPr>
        <w:t>29</w:t>
      </w:r>
      <w:r w:rsidRPr="00403EED">
        <w:rPr>
          <w:rFonts w:asciiTheme="minorHAnsi" w:eastAsiaTheme="minorEastAsia" w:hAnsiTheme="minorHAnsi" w:cstheme="minorBidi"/>
          <w:sz w:val="28"/>
          <w:szCs w:val="28"/>
        </w:rPr>
        <w:t>, 202</w:t>
      </w:r>
      <w:r>
        <w:rPr>
          <w:rFonts w:asciiTheme="minorHAnsi" w:eastAsiaTheme="minorEastAsia" w:hAnsiTheme="minorHAnsi" w:cstheme="minorBidi"/>
          <w:sz w:val="28"/>
          <w:szCs w:val="28"/>
        </w:rPr>
        <w:t>3.</w:t>
      </w:r>
      <w:r w:rsidRPr="00403EED">
        <w:rPr>
          <w:rFonts w:asciiTheme="minorHAnsi" w:eastAsiaTheme="minorEastAsia" w:hAnsiTheme="minorHAnsi" w:cstheme="minorBidi"/>
          <w:sz w:val="28"/>
          <w:szCs w:val="28"/>
        </w:rPr>
        <w:t xml:space="preserve"> </w:t>
      </w:r>
    </w:p>
    <w:p w:rsidR="00413597" w:rsidRPr="00403EED" w:rsidRDefault="00413597" w:rsidP="00413597">
      <w:pPr>
        <w:spacing w:after="160" w:line="259" w:lineRule="auto"/>
        <w:jc w:val="both"/>
        <w:rPr>
          <w:rFonts w:asciiTheme="minorHAnsi" w:eastAsiaTheme="minorEastAsia" w:hAnsiTheme="minorHAnsi" w:cstheme="minorBidi"/>
          <w:sz w:val="28"/>
          <w:szCs w:val="28"/>
        </w:rPr>
      </w:pPr>
      <w:r w:rsidRPr="00403EED">
        <w:rPr>
          <w:rFonts w:asciiTheme="minorHAnsi" w:eastAsiaTheme="minorEastAsia" w:hAnsiTheme="minorHAnsi" w:cstheme="minorBidi"/>
          <w:sz w:val="28"/>
          <w:szCs w:val="28"/>
        </w:rPr>
        <w:t>The final version of the CAPER will be available on September 2</w:t>
      </w:r>
      <w:r>
        <w:rPr>
          <w:rFonts w:asciiTheme="minorHAnsi" w:eastAsiaTheme="minorEastAsia" w:hAnsiTheme="minorHAnsi" w:cstheme="minorBidi"/>
          <w:sz w:val="28"/>
          <w:szCs w:val="28"/>
        </w:rPr>
        <w:t>9</w:t>
      </w:r>
      <w:r w:rsidRPr="00403EED">
        <w:rPr>
          <w:rFonts w:asciiTheme="minorHAnsi" w:eastAsiaTheme="minorEastAsia" w:hAnsiTheme="minorHAnsi" w:cstheme="minorBidi"/>
          <w:sz w:val="28"/>
          <w:szCs w:val="28"/>
        </w:rPr>
        <w:t>, 202</w:t>
      </w:r>
      <w:r>
        <w:rPr>
          <w:rFonts w:asciiTheme="minorHAnsi" w:eastAsiaTheme="minorEastAsia" w:hAnsiTheme="minorHAnsi" w:cstheme="minorBidi"/>
          <w:sz w:val="28"/>
          <w:szCs w:val="28"/>
        </w:rPr>
        <w:t>3</w:t>
      </w:r>
      <w:r w:rsidRPr="00403EED">
        <w:rPr>
          <w:rFonts w:asciiTheme="minorHAnsi" w:eastAsiaTheme="minorEastAsia" w:hAnsiTheme="minorHAnsi" w:cstheme="minorBidi"/>
          <w:sz w:val="28"/>
          <w:szCs w:val="28"/>
        </w:rPr>
        <w:t xml:space="preserve">, at www.enid.org. The City of Enid accepted verbal and written comments on the Draft CAPER until </w:t>
      </w:r>
      <w:r>
        <w:rPr>
          <w:rFonts w:asciiTheme="minorHAnsi" w:eastAsiaTheme="minorEastAsia" w:hAnsiTheme="minorHAnsi" w:cstheme="minorBidi"/>
          <w:sz w:val="28"/>
          <w:szCs w:val="28"/>
        </w:rPr>
        <w:t>6</w:t>
      </w:r>
      <w:r w:rsidRPr="00403EED">
        <w:rPr>
          <w:rFonts w:asciiTheme="minorHAnsi" w:eastAsiaTheme="minorEastAsia" w:hAnsiTheme="minorHAnsi" w:cstheme="minorBidi"/>
          <w:sz w:val="28"/>
          <w:szCs w:val="28"/>
        </w:rPr>
        <w:t xml:space="preserve">:00 </w:t>
      </w:r>
      <w:r>
        <w:rPr>
          <w:rFonts w:asciiTheme="minorHAnsi" w:eastAsiaTheme="minorEastAsia" w:hAnsiTheme="minorHAnsi" w:cstheme="minorBidi"/>
          <w:sz w:val="28"/>
          <w:szCs w:val="28"/>
        </w:rPr>
        <w:t>p</w:t>
      </w:r>
      <w:r w:rsidRPr="00403EED">
        <w:rPr>
          <w:rFonts w:asciiTheme="minorHAnsi" w:eastAsiaTheme="minorEastAsia" w:hAnsiTheme="minorHAnsi" w:cstheme="minorBidi"/>
          <w:sz w:val="28"/>
          <w:szCs w:val="28"/>
        </w:rPr>
        <w:t xml:space="preserve">.m. on, September </w:t>
      </w:r>
      <w:r w:rsidRPr="005A64C5">
        <w:rPr>
          <w:rFonts w:asciiTheme="minorHAnsi" w:eastAsiaTheme="minorEastAsia" w:hAnsiTheme="minorHAnsi" w:cstheme="minorBidi"/>
          <w:sz w:val="28"/>
          <w:szCs w:val="28"/>
          <w:highlight w:val="yellow"/>
        </w:rPr>
        <w:t>20</w:t>
      </w:r>
      <w:r w:rsidRPr="00403EED">
        <w:rPr>
          <w:rFonts w:asciiTheme="minorHAnsi" w:eastAsiaTheme="minorEastAsia" w:hAnsiTheme="minorHAnsi" w:cstheme="minorBidi"/>
          <w:sz w:val="28"/>
          <w:szCs w:val="28"/>
        </w:rPr>
        <w:t>, 202</w:t>
      </w:r>
      <w:r>
        <w:rPr>
          <w:rFonts w:asciiTheme="minorHAnsi" w:eastAsiaTheme="minorEastAsia" w:hAnsiTheme="minorHAnsi" w:cstheme="minorBidi"/>
          <w:sz w:val="28"/>
          <w:szCs w:val="28"/>
        </w:rPr>
        <w:t>3</w:t>
      </w:r>
      <w:r w:rsidRPr="00403EED">
        <w:rPr>
          <w:rFonts w:asciiTheme="minorHAnsi" w:eastAsiaTheme="minorEastAsia" w:hAnsiTheme="minorHAnsi" w:cstheme="minorBidi"/>
          <w:sz w:val="28"/>
          <w:szCs w:val="28"/>
        </w:rPr>
        <w:t xml:space="preserve">, via e-mail to </w:t>
      </w:r>
      <w:r>
        <w:rPr>
          <w:rFonts w:asciiTheme="minorHAnsi" w:eastAsiaTheme="minorEastAsia" w:hAnsiTheme="minorHAnsi" w:cstheme="minorBidi"/>
          <w:sz w:val="28"/>
          <w:szCs w:val="28"/>
        </w:rPr>
        <w:t>Laura Girty</w:t>
      </w:r>
      <w:r w:rsidRPr="00403EED">
        <w:rPr>
          <w:rFonts w:asciiTheme="minorHAnsi" w:eastAsiaTheme="minorEastAsia" w:hAnsiTheme="minorHAnsi" w:cstheme="minorBidi"/>
          <w:sz w:val="28"/>
          <w:szCs w:val="28"/>
        </w:rPr>
        <w:t xml:space="preserve">, CDBG </w:t>
      </w:r>
      <w:r>
        <w:rPr>
          <w:rFonts w:asciiTheme="minorHAnsi" w:eastAsiaTheme="minorEastAsia" w:hAnsiTheme="minorHAnsi" w:cstheme="minorBidi"/>
          <w:sz w:val="28"/>
          <w:szCs w:val="28"/>
        </w:rPr>
        <w:t>Coordinator</w:t>
      </w:r>
      <w:r w:rsidRPr="00403EED">
        <w:rPr>
          <w:rFonts w:asciiTheme="minorHAnsi" w:eastAsiaTheme="minorEastAsia" w:hAnsiTheme="minorHAnsi" w:cstheme="minorBidi"/>
          <w:sz w:val="28"/>
          <w:szCs w:val="28"/>
        </w:rPr>
        <w:t xml:space="preserve"> </w:t>
      </w:r>
      <w:r>
        <w:rPr>
          <w:rFonts w:asciiTheme="minorHAnsi" w:eastAsiaTheme="minorEastAsia" w:hAnsiTheme="minorHAnsi" w:cstheme="minorBidi"/>
          <w:sz w:val="28"/>
          <w:szCs w:val="28"/>
        </w:rPr>
        <w:t>lgirty</w:t>
      </w:r>
      <w:r w:rsidRPr="00403EED">
        <w:rPr>
          <w:rFonts w:asciiTheme="minorHAnsi" w:eastAsiaTheme="minorEastAsia" w:hAnsiTheme="minorHAnsi" w:cstheme="minorBidi"/>
          <w:sz w:val="28"/>
          <w:szCs w:val="28"/>
        </w:rPr>
        <w:t xml:space="preserve">@enid.org or mail: </w:t>
      </w:r>
    </w:p>
    <w:p w:rsidR="00413597" w:rsidRPr="00403EED" w:rsidRDefault="00413597" w:rsidP="00413597">
      <w:pPr>
        <w:rPr>
          <w:rFonts w:asciiTheme="minorHAnsi" w:eastAsiaTheme="minorEastAsia" w:hAnsiTheme="minorHAnsi" w:cstheme="minorBidi"/>
          <w:sz w:val="28"/>
          <w:szCs w:val="28"/>
        </w:rPr>
      </w:pPr>
    </w:p>
    <w:p w:rsidR="00413597" w:rsidRPr="00403EED" w:rsidRDefault="00413597" w:rsidP="00413597">
      <w:pP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 xml:space="preserve">City of Enid </w:t>
      </w:r>
    </w:p>
    <w:p w:rsidR="00413597" w:rsidRPr="00403EED" w:rsidRDefault="00413597" w:rsidP="00413597">
      <w:pP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 xml:space="preserve">ATTN: CDBG Program/CAPER </w:t>
      </w:r>
    </w:p>
    <w:p w:rsidR="00413597" w:rsidRPr="00403EED" w:rsidRDefault="00413597" w:rsidP="00413597">
      <w:pP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 xml:space="preserve">P.O. Box 1768 </w:t>
      </w:r>
    </w:p>
    <w:p w:rsidR="00413597" w:rsidRPr="00403EED" w:rsidRDefault="00413597" w:rsidP="00413597">
      <w:pPr>
        <w:rPr>
          <w:rFonts w:asciiTheme="minorHAnsi" w:eastAsiaTheme="minorEastAsia" w:hAnsiTheme="minorHAnsi" w:cstheme="minorBidi"/>
          <w:sz w:val="32"/>
          <w:szCs w:val="32"/>
        </w:rPr>
      </w:pPr>
      <w:r w:rsidRPr="00403EED">
        <w:rPr>
          <w:rFonts w:asciiTheme="minorHAnsi" w:eastAsiaTheme="minorEastAsia" w:hAnsiTheme="minorHAnsi" w:cstheme="minorBidi"/>
          <w:sz w:val="32"/>
          <w:szCs w:val="32"/>
        </w:rPr>
        <w:t>Enid, OK 73702</w:t>
      </w:r>
    </w:p>
    <w:p w:rsidR="00413597" w:rsidRPr="00403EED" w:rsidRDefault="00413597" w:rsidP="00413597">
      <w:pPr>
        <w:spacing w:line="259" w:lineRule="auto"/>
        <w:rPr>
          <w:rFonts w:asciiTheme="minorHAnsi" w:eastAsiaTheme="minorEastAsia" w:hAnsiTheme="minorHAnsi" w:cstheme="minorBidi"/>
          <w:sz w:val="28"/>
          <w:szCs w:val="28"/>
        </w:rPr>
      </w:pPr>
    </w:p>
    <w:p w:rsidR="00413597" w:rsidRPr="00403EED" w:rsidRDefault="00413597" w:rsidP="00413597">
      <w:pPr>
        <w:spacing w:line="259" w:lineRule="auto"/>
        <w:rPr>
          <w:rFonts w:asciiTheme="minorHAnsi" w:eastAsiaTheme="minorEastAsia" w:hAnsiTheme="minorHAnsi" w:cstheme="minorBidi"/>
          <w:sz w:val="28"/>
          <w:szCs w:val="28"/>
        </w:rPr>
      </w:pPr>
      <w:r w:rsidRPr="00403EED">
        <w:rPr>
          <w:rFonts w:asciiTheme="minorHAnsi" w:eastAsiaTheme="minorEastAsia" w:hAnsiTheme="minorHAnsi" w:cstheme="minorBidi"/>
          <w:sz w:val="28"/>
          <w:szCs w:val="28"/>
        </w:rPr>
        <w:t>Reasonable notice and opportunity to comment was given. A notice of availability of the 20</w:t>
      </w:r>
      <w:r>
        <w:rPr>
          <w:rFonts w:asciiTheme="minorHAnsi" w:eastAsiaTheme="minorEastAsia" w:hAnsiTheme="minorHAnsi" w:cstheme="minorBidi"/>
          <w:sz w:val="28"/>
          <w:szCs w:val="28"/>
        </w:rPr>
        <w:t>22</w:t>
      </w:r>
      <w:r w:rsidRPr="00403EED">
        <w:rPr>
          <w:rFonts w:asciiTheme="minorHAnsi" w:eastAsiaTheme="minorEastAsia" w:hAnsiTheme="minorHAnsi" w:cstheme="minorBidi"/>
          <w:sz w:val="28"/>
          <w:szCs w:val="28"/>
        </w:rPr>
        <w:t xml:space="preserve"> Consolidated Annual Performance and Evaluation Report for the City of Enid Community Development Block Grant Program was published and posted on </w:t>
      </w:r>
      <w:r w:rsidRPr="005A64C5">
        <w:rPr>
          <w:rFonts w:asciiTheme="minorHAnsi" w:eastAsiaTheme="minorEastAsia" w:hAnsiTheme="minorHAnsi" w:cstheme="minorBidi"/>
          <w:sz w:val="28"/>
          <w:szCs w:val="28"/>
          <w:highlight w:val="yellow"/>
        </w:rPr>
        <w:t>September 6</w:t>
      </w:r>
      <w:r w:rsidRPr="00403EED">
        <w:rPr>
          <w:rFonts w:asciiTheme="minorHAnsi" w:eastAsiaTheme="minorEastAsia" w:hAnsiTheme="minorHAnsi" w:cstheme="minorBidi"/>
          <w:sz w:val="28"/>
          <w:szCs w:val="28"/>
        </w:rPr>
        <w:t>, 202</w:t>
      </w:r>
      <w:r>
        <w:rPr>
          <w:rFonts w:asciiTheme="minorHAnsi" w:eastAsiaTheme="minorEastAsia" w:hAnsiTheme="minorHAnsi" w:cstheme="minorBidi"/>
          <w:sz w:val="28"/>
          <w:szCs w:val="28"/>
        </w:rPr>
        <w:t>3</w:t>
      </w:r>
      <w:r w:rsidRPr="00403EED">
        <w:rPr>
          <w:rFonts w:asciiTheme="minorHAnsi" w:eastAsiaTheme="minorEastAsia" w:hAnsiTheme="minorHAnsi" w:cstheme="minorBidi"/>
          <w:sz w:val="28"/>
          <w:szCs w:val="28"/>
        </w:rPr>
        <w:t xml:space="preserve"> allowing more than the required 15-day comment period.  The notices were also posted at the administration building and on the City of Enid website.  Any comments regarding this report were accepted and added to the final version before submission to the Department of Housing and Urban Development.  At the time of report submission, no comments were made.  </w:t>
      </w:r>
    </w:p>
    <w:p w:rsidR="00413597" w:rsidRPr="00403EED" w:rsidRDefault="00413597" w:rsidP="00413597">
      <w:pPr>
        <w:spacing w:line="259" w:lineRule="auto"/>
        <w:rPr>
          <w:rFonts w:asciiTheme="minorHAnsi" w:eastAsiaTheme="minorEastAsia" w:hAnsiTheme="minorHAnsi" w:cstheme="minorBidi"/>
          <w:sz w:val="28"/>
          <w:szCs w:val="28"/>
        </w:rPr>
      </w:pPr>
    </w:p>
    <w:p w:rsidR="00413597" w:rsidRDefault="00413597" w:rsidP="00413597">
      <w:pPr>
        <w:rPr>
          <w:rFonts w:cs="Arial"/>
          <w:sz w:val="28"/>
          <w:szCs w:val="28"/>
        </w:rPr>
      </w:pPr>
    </w:p>
    <w:p w:rsidR="00413597" w:rsidRDefault="00413597" w:rsidP="00413597">
      <w:pPr>
        <w:pStyle w:val="Heading2"/>
        <w:rPr>
          <w:rFonts w:ascii="Calibri" w:hAnsi="Calibri"/>
          <w:i w:val="0"/>
        </w:rPr>
      </w:pPr>
    </w:p>
    <w:p w:rsidR="00413597" w:rsidRDefault="00413597" w:rsidP="00413597">
      <w:pPr>
        <w:rPr>
          <w:rFonts w:cs="Arial"/>
          <w:sz w:val="28"/>
          <w:szCs w:val="28"/>
        </w:rPr>
      </w:pPr>
      <w:r>
        <w:br w:type="page"/>
      </w:r>
    </w:p>
    <w:p w:rsidR="00413597" w:rsidRPr="00CD7E2E" w:rsidRDefault="00413597" w:rsidP="00413597">
      <w:pPr>
        <w:pStyle w:val="Title"/>
        <w:pBdr>
          <w:top w:val="single" w:sz="4" w:space="1" w:color="auto"/>
          <w:left w:val="single" w:sz="4" w:space="4" w:color="auto"/>
          <w:bottom w:val="single" w:sz="4" w:space="1" w:color="auto"/>
          <w:right w:val="single" w:sz="4" w:space="4" w:color="auto"/>
        </w:pBdr>
        <w:rPr>
          <w:rFonts w:ascii="Arial" w:hAnsi="Arial" w:cs="Arial"/>
          <w:sz w:val="18"/>
          <w:szCs w:val="18"/>
        </w:rPr>
      </w:pPr>
      <w:r w:rsidRPr="00CD7E2E">
        <w:rPr>
          <w:rFonts w:ascii="Arial" w:hAnsi="Arial" w:cs="Arial"/>
          <w:sz w:val="18"/>
          <w:szCs w:val="18"/>
        </w:rPr>
        <w:lastRenderedPageBreak/>
        <w:t>NOT</w:t>
      </w:r>
      <w:r>
        <w:rPr>
          <w:rFonts w:ascii="Arial" w:hAnsi="Arial" w:cs="Arial"/>
          <w:sz w:val="18"/>
          <w:szCs w:val="18"/>
        </w:rPr>
        <w:t>ICE OF PUBLIC AVAILABILITY OF THE PROGRAM YEAR 2022 (PY-22)</w:t>
      </w:r>
      <w:r w:rsidRPr="00CD7E2E">
        <w:rPr>
          <w:rFonts w:ascii="Arial" w:hAnsi="Arial" w:cs="Arial"/>
          <w:sz w:val="18"/>
          <w:szCs w:val="18"/>
        </w:rPr>
        <w:t xml:space="preserve"> </w:t>
      </w:r>
      <w:r w:rsidRPr="00CD7E2E">
        <w:rPr>
          <w:rFonts w:ascii="Arial" w:hAnsi="Arial" w:cs="Arial"/>
          <w:bCs w:val="0"/>
          <w:sz w:val="18"/>
          <w:szCs w:val="18"/>
        </w:rPr>
        <w:t>CONSOLIDATED ANNUAL PERFORMANCE AND EVALUATION REPORT FOR THE CITY OF ENID</w:t>
      </w:r>
    </w:p>
    <w:p w:rsidR="00413597" w:rsidRPr="00CD7E2E" w:rsidRDefault="00413597" w:rsidP="00413597">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CD7E2E">
        <w:rPr>
          <w:rFonts w:ascii="Arial" w:hAnsi="Arial" w:cs="Arial"/>
          <w:b/>
          <w:bCs/>
          <w:sz w:val="18"/>
          <w:szCs w:val="18"/>
        </w:rPr>
        <w:t>COMMUNITY DEVELOPMENT BLOCK GRANT PROGRAM</w:t>
      </w:r>
    </w:p>
    <w:p w:rsidR="00413597" w:rsidRPr="00CD7E2E" w:rsidRDefault="00413597" w:rsidP="00413597">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p>
    <w:p w:rsidR="00413597" w:rsidRPr="00CD7E2E" w:rsidRDefault="00413597" w:rsidP="00413597">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sz w:val="18"/>
          <w:szCs w:val="18"/>
        </w:rPr>
      </w:pPr>
      <w:r w:rsidRPr="00CD7E2E">
        <w:rPr>
          <w:rFonts w:ascii="Arial" w:hAnsi="Arial" w:cs="Arial"/>
          <w:sz w:val="18"/>
          <w:szCs w:val="18"/>
        </w:rPr>
        <w:t>City of Enid – CDBG Department</w:t>
      </w: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sz w:val="18"/>
          <w:szCs w:val="18"/>
        </w:rPr>
      </w:pPr>
      <w:r w:rsidRPr="00CD7E2E">
        <w:rPr>
          <w:rFonts w:ascii="Arial" w:hAnsi="Arial" w:cs="Arial"/>
          <w:sz w:val="18"/>
          <w:szCs w:val="18"/>
        </w:rPr>
        <w:t>P.O. Box 1768</w:t>
      </w: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sz w:val="18"/>
          <w:szCs w:val="18"/>
        </w:rPr>
      </w:pPr>
      <w:r w:rsidRPr="00CD7E2E">
        <w:rPr>
          <w:rFonts w:ascii="Arial" w:hAnsi="Arial" w:cs="Arial"/>
          <w:sz w:val="18"/>
          <w:szCs w:val="18"/>
        </w:rPr>
        <w:t>Enid, OK 73702</w:t>
      </w: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sz w:val="18"/>
          <w:szCs w:val="18"/>
        </w:rPr>
      </w:pPr>
      <w:r w:rsidRPr="00CD7E2E">
        <w:rPr>
          <w:rFonts w:ascii="Arial" w:hAnsi="Arial" w:cs="Arial"/>
          <w:sz w:val="18"/>
          <w:szCs w:val="18"/>
        </w:rPr>
        <w:t xml:space="preserve">Email: </w:t>
      </w:r>
      <w:r>
        <w:rPr>
          <w:rFonts w:ascii="Arial" w:hAnsi="Arial" w:cs="Arial"/>
          <w:sz w:val="18"/>
          <w:szCs w:val="18"/>
        </w:rPr>
        <w:t>lgirty</w:t>
      </w:r>
      <w:r w:rsidRPr="00CD7E2E">
        <w:rPr>
          <w:rFonts w:ascii="Arial" w:hAnsi="Arial" w:cs="Arial"/>
          <w:sz w:val="18"/>
          <w:szCs w:val="18"/>
        </w:rPr>
        <w:t>@enid.org</w:t>
      </w: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sz w:val="18"/>
          <w:szCs w:val="18"/>
        </w:rPr>
      </w:pPr>
      <w:r w:rsidRPr="00CD7E2E">
        <w:rPr>
          <w:rFonts w:ascii="Arial" w:hAnsi="Arial" w:cs="Arial"/>
          <w:sz w:val="18"/>
          <w:szCs w:val="18"/>
        </w:rPr>
        <w:t>Phone: 580-234-0400 ext. 7211</w:t>
      </w: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sz w:val="18"/>
          <w:szCs w:val="18"/>
        </w:rPr>
      </w:pP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b/>
          <w:bCs/>
          <w:sz w:val="18"/>
          <w:szCs w:val="18"/>
        </w:rPr>
      </w:pPr>
      <w:r w:rsidRPr="00CD7E2E">
        <w:rPr>
          <w:rFonts w:ascii="Arial" w:hAnsi="Arial" w:cs="Arial"/>
          <w:b/>
          <w:bCs/>
          <w:sz w:val="18"/>
          <w:szCs w:val="18"/>
        </w:rPr>
        <w:t>TO ALL INTERESTED AGENCIES, GROUPS AND PERSONS:</w:t>
      </w:r>
    </w:p>
    <w:p w:rsidR="00413597" w:rsidRPr="00CD7E2E" w:rsidRDefault="00413597" w:rsidP="00413597">
      <w:pPr>
        <w:pBdr>
          <w:top w:val="single" w:sz="4" w:space="1" w:color="auto"/>
          <w:left w:val="single" w:sz="4" w:space="4" w:color="auto"/>
          <w:bottom w:val="single" w:sz="4" w:space="1" w:color="auto"/>
          <w:right w:val="single" w:sz="4" w:space="4" w:color="auto"/>
        </w:pBdr>
        <w:rPr>
          <w:rFonts w:ascii="Arial" w:hAnsi="Arial" w:cs="Arial"/>
          <w:sz w:val="18"/>
          <w:szCs w:val="18"/>
        </w:rPr>
      </w:pPr>
    </w:p>
    <w:p w:rsidR="00413597"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bookmarkStart w:id="2" w:name="_Hlk143516785"/>
      <w:r>
        <w:rPr>
          <w:rFonts w:ascii="Arial" w:hAnsi="Arial" w:cs="Arial"/>
          <w:sz w:val="18"/>
          <w:szCs w:val="18"/>
        </w:rPr>
        <w:t xml:space="preserve">This notice is the City of Enid’s announcement of the intention to file the PY-22 Consolidated Annual Performance and </w:t>
      </w:r>
      <w:bookmarkStart w:id="3" w:name="_GoBack"/>
      <w:bookmarkEnd w:id="3"/>
      <w:r>
        <w:rPr>
          <w:rFonts w:ascii="Arial" w:hAnsi="Arial" w:cs="Arial"/>
          <w:sz w:val="18"/>
          <w:szCs w:val="18"/>
        </w:rPr>
        <w:t xml:space="preserve">Evaluation Report (CAPER) with the U.S. Department of Housing and Urban Development (HUD). The CAPER details the progress of the activities as set out in the Action Plan for the 2022 program year running from July 1, 2022 to June 30, 2023. </w:t>
      </w:r>
    </w:p>
    <w:p w:rsidR="00413597"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413597" w:rsidRPr="00CD7E2E"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D7E2E">
        <w:rPr>
          <w:rFonts w:ascii="Arial" w:hAnsi="Arial" w:cs="Arial"/>
          <w:sz w:val="18"/>
          <w:szCs w:val="18"/>
        </w:rPr>
        <w:t xml:space="preserve">The </w:t>
      </w:r>
      <w:r>
        <w:rPr>
          <w:rFonts w:ascii="Arial" w:hAnsi="Arial" w:cs="Arial"/>
          <w:sz w:val="18"/>
          <w:szCs w:val="18"/>
        </w:rPr>
        <w:t>Draft FY 22/23 Consolidated Annual Performance &amp; Evaluation Report (</w:t>
      </w:r>
      <w:r w:rsidRPr="00CD7E2E">
        <w:rPr>
          <w:rFonts w:ascii="Arial" w:hAnsi="Arial" w:cs="Arial"/>
          <w:sz w:val="18"/>
          <w:szCs w:val="18"/>
        </w:rPr>
        <w:t>CAPER</w:t>
      </w:r>
      <w:r>
        <w:rPr>
          <w:rFonts w:ascii="Arial" w:hAnsi="Arial" w:cs="Arial"/>
          <w:sz w:val="18"/>
          <w:szCs w:val="18"/>
        </w:rPr>
        <w:t>)</w:t>
      </w:r>
      <w:r w:rsidRPr="00CD7E2E">
        <w:rPr>
          <w:rFonts w:ascii="Arial" w:hAnsi="Arial" w:cs="Arial"/>
          <w:sz w:val="18"/>
          <w:szCs w:val="18"/>
        </w:rPr>
        <w:t xml:space="preserve"> document </w:t>
      </w:r>
      <w:r>
        <w:rPr>
          <w:rFonts w:ascii="Arial" w:hAnsi="Arial" w:cs="Arial"/>
          <w:sz w:val="18"/>
          <w:szCs w:val="18"/>
        </w:rPr>
        <w:t>is</w:t>
      </w:r>
      <w:r w:rsidRPr="00CD7E2E">
        <w:rPr>
          <w:rFonts w:ascii="Arial" w:hAnsi="Arial" w:cs="Arial"/>
          <w:sz w:val="18"/>
          <w:szCs w:val="18"/>
        </w:rPr>
        <w:t xml:space="preserve"> available for </w:t>
      </w:r>
      <w:r>
        <w:rPr>
          <w:rFonts w:ascii="Arial" w:hAnsi="Arial" w:cs="Arial"/>
          <w:sz w:val="18"/>
          <w:szCs w:val="18"/>
        </w:rPr>
        <w:t xml:space="preserve">a 15-day public review and comment period to begin on </w:t>
      </w:r>
      <w:r w:rsidR="008E4288">
        <w:rPr>
          <w:rFonts w:ascii="Arial" w:hAnsi="Arial" w:cs="Arial"/>
          <w:sz w:val="18"/>
          <w:szCs w:val="18"/>
          <w:highlight w:val="yellow"/>
        </w:rPr>
        <w:t>August 25</w:t>
      </w:r>
      <w:r>
        <w:rPr>
          <w:rFonts w:ascii="Arial" w:hAnsi="Arial" w:cs="Arial"/>
          <w:sz w:val="18"/>
          <w:szCs w:val="18"/>
        </w:rPr>
        <w:t xml:space="preserve">, 2023 and continues through </w:t>
      </w:r>
      <w:r w:rsidRPr="0048349E">
        <w:rPr>
          <w:rFonts w:ascii="Arial" w:hAnsi="Arial" w:cs="Arial"/>
          <w:sz w:val="18"/>
          <w:szCs w:val="18"/>
          <w:highlight w:val="yellow"/>
        </w:rPr>
        <w:t xml:space="preserve">September </w:t>
      </w:r>
      <w:r w:rsidR="008E4288">
        <w:rPr>
          <w:rFonts w:ascii="Arial" w:hAnsi="Arial" w:cs="Arial"/>
          <w:sz w:val="18"/>
          <w:szCs w:val="18"/>
          <w:highlight w:val="yellow"/>
        </w:rPr>
        <w:t>8</w:t>
      </w:r>
      <w:r>
        <w:rPr>
          <w:rFonts w:ascii="Arial" w:hAnsi="Arial" w:cs="Arial"/>
          <w:sz w:val="18"/>
          <w:szCs w:val="18"/>
        </w:rPr>
        <w:t xml:space="preserve">, 2023 at 6:00 PM and is available at </w:t>
      </w:r>
      <w:r w:rsidRPr="00CD7E2E">
        <w:rPr>
          <w:rFonts w:ascii="Arial" w:hAnsi="Arial" w:cs="Arial"/>
          <w:sz w:val="18"/>
          <w:szCs w:val="18"/>
        </w:rPr>
        <w:t>the following locations:</w:t>
      </w:r>
    </w:p>
    <w:p w:rsidR="00413597" w:rsidRPr="00CD7E2E"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413597" w:rsidRPr="00CD7E2E"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D7E2E">
        <w:rPr>
          <w:rFonts w:ascii="Arial" w:hAnsi="Arial" w:cs="Arial"/>
          <w:sz w:val="18"/>
          <w:szCs w:val="18"/>
        </w:rPr>
        <w:t>Enid Public Library, 120 W. Maine</w:t>
      </w:r>
    </w:p>
    <w:p w:rsidR="00413597" w:rsidRPr="00CD7E2E"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D7E2E">
        <w:rPr>
          <w:rFonts w:ascii="Arial" w:hAnsi="Arial" w:cs="Arial"/>
          <w:sz w:val="18"/>
          <w:szCs w:val="18"/>
        </w:rPr>
        <w:t xml:space="preserve">City of Enid, Office of the City Clerk, 401 W. Owen K. Garriott </w:t>
      </w:r>
    </w:p>
    <w:p w:rsidR="00413597" w:rsidRPr="00CD7E2E"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D7E2E">
        <w:rPr>
          <w:rFonts w:ascii="Arial" w:hAnsi="Arial" w:cs="Arial"/>
          <w:sz w:val="18"/>
          <w:szCs w:val="18"/>
        </w:rPr>
        <w:t xml:space="preserve">City of Enid, Office of CDBG, 401 W. Owen K. Garriott </w:t>
      </w:r>
      <w:r>
        <w:rPr>
          <w:rFonts w:ascii="Arial" w:hAnsi="Arial" w:cs="Arial"/>
          <w:sz w:val="18"/>
          <w:szCs w:val="18"/>
        </w:rPr>
        <w:t>(email request to lgirty@enid.org)</w:t>
      </w:r>
    </w:p>
    <w:p w:rsidR="00413597" w:rsidRPr="00CD7E2E"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D7E2E">
        <w:rPr>
          <w:rFonts w:ascii="Arial" w:hAnsi="Arial" w:cs="Arial"/>
          <w:sz w:val="18"/>
          <w:szCs w:val="18"/>
        </w:rPr>
        <w:t>Online at www.enid.org</w:t>
      </w:r>
    </w:p>
    <w:p w:rsidR="00413597"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413597" w:rsidRPr="00CD7E2E" w:rsidRDefault="00413597" w:rsidP="00413597">
      <w:pPr>
        <w:pStyle w:val="BodyTextIndent"/>
        <w:pBdr>
          <w:top w:val="single" w:sz="4" w:space="1" w:color="auto"/>
          <w:left w:val="single" w:sz="4" w:space="4" w:color="auto"/>
          <w:bottom w:val="single" w:sz="4" w:space="1" w:color="auto"/>
          <w:right w:val="single" w:sz="4" w:space="4" w:color="auto"/>
        </w:pBdr>
        <w:ind w:left="0"/>
        <w:jc w:val="both"/>
        <w:rPr>
          <w:rFonts w:ascii="Arial" w:hAnsi="Arial" w:cs="Arial"/>
          <w:sz w:val="18"/>
          <w:szCs w:val="18"/>
        </w:rPr>
      </w:pPr>
      <w:r w:rsidRPr="00CD7E2E">
        <w:rPr>
          <w:rFonts w:ascii="Arial" w:hAnsi="Arial" w:cs="Arial"/>
          <w:sz w:val="18"/>
          <w:szCs w:val="18"/>
        </w:rPr>
        <w:t>Contact the Community Development Block</w:t>
      </w:r>
      <w:r>
        <w:rPr>
          <w:rFonts w:ascii="Arial" w:hAnsi="Arial" w:cs="Arial"/>
          <w:sz w:val="18"/>
          <w:szCs w:val="18"/>
        </w:rPr>
        <w:t xml:space="preserve"> Grant (CDBG) Coordinator at </w:t>
      </w:r>
      <w:hyperlink r:id="rId11" w:history="1">
        <w:r w:rsidRPr="00CA7026">
          <w:rPr>
            <w:rStyle w:val="Hyperlink"/>
            <w:rFonts w:ascii="Arial" w:hAnsi="Arial" w:cs="Arial"/>
            <w:sz w:val="18"/>
            <w:szCs w:val="18"/>
          </w:rPr>
          <w:t>lgirty@enid.org</w:t>
        </w:r>
      </w:hyperlink>
      <w:r>
        <w:rPr>
          <w:rFonts w:ascii="Arial" w:hAnsi="Arial" w:cs="Arial"/>
          <w:sz w:val="18"/>
          <w:szCs w:val="18"/>
        </w:rPr>
        <w:t xml:space="preserve"> to request a digital copy of the report or submit written comments and/or any feedback</w:t>
      </w:r>
      <w:r w:rsidRPr="00CD7E2E">
        <w:rPr>
          <w:rFonts w:ascii="Arial" w:hAnsi="Arial" w:cs="Arial"/>
          <w:sz w:val="18"/>
          <w:szCs w:val="18"/>
        </w:rPr>
        <w:t xml:space="preserve"> that you may wish to express regarding the report</w:t>
      </w:r>
      <w:r>
        <w:rPr>
          <w:rFonts w:ascii="Arial" w:hAnsi="Arial" w:cs="Arial"/>
          <w:sz w:val="18"/>
          <w:szCs w:val="18"/>
        </w:rPr>
        <w:t>.</w:t>
      </w:r>
      <w:r w:rsidRPr="00CD7E2E">
        <w:rPr>
          <w:rFonts w:ascii="Arial" w:hAnsi="Arial" w:cs="Arial"/>
          <w:sz w:val="18"/>
          <w:szCs w:val="18"/>
        </w:rPr>
        <w:t xml:space="preserve">  All such comments should be received by the CDBG office at the City Administration Building located at 401 W. Owen K. Garriott,</w:t>
      </w:r>
      <w:r>
        <w:rPr>
          <w:rFonts w:ascii="Arial" w:hAnsi="Arial" w:cs="Arial"/>
          <w:sz w:val="18"/>
          <w:szCs w:val="18"/>
        </w:rPr>
        <w:t xml:space="preserve"> or by email as noted, on or before the conclusion of the comment period on </w:t>
      </w:r>
      <w:r w:rsidRPr="0048349E">
        <w:rPr>
          <w:rFonts w:ascii="Arial" w:hAnsi="Arial" w:cs="Arial"/>
          <w:sz w:val="18"/>
          <w:szCs w:val="18"/>
          <w:highlight w:val="yellow"/>
        </w:rPr>
        <w:t xml:space="preserve">September </w:t>
      </w:r>
      <w:r w:rsidR="008E4288">
        <w:rPr>
          <w:rFonts w:ascii="Arial" w:hAnsi="Arial" w:cs="Arial"/>
          <w:sz w:val="18"/>
          <w:szCs w:val="18"/>
          <w:highlight w:val="yellow"/>
        </w:rPr>
        <w:t>8</w:t>
      </w:r>
      <w:r>
        <w:rPr>
          <w:rFonts w:ascii="Arial" w:hAnsi="Arial" w:cs="Arial"/>
          <w:sz w:val="18"/>
          <w:szCs w:val="18"/>
        </w:rPr>
        <w:t xml:space="preserve">, 2023.  </w:t>
      </w:r>
    </w:p>
    <w:bookmarkEnd w:id="2"/>
    <w:p w:rsidR="00413597" w:rsidRPr="00CD7E2E" w:rsidRDefault="00413597" w:rsidP="004135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413597" w:rsidRDefault="00413597" w:rsidP="00413597">
      <w:pPr>
        <w:pBdr>
          <w:top w:val="single" w:sz="4" w:space="1" w:color="auto"/>
          <w:left w:val="single" w:sz="4" w:space="4" w:color="auto"/>
          <w:bottom w:val="single" w:sz="4" w:space="1" w:color="auto"/>
          <w:right w:val="single" w:sz="4" w:space="4" w:color="auto"/>
        </w:pBdr>
        <w:jc w:val="right"/>
        <w:rPr>
          <w:rFonts w:ascii="Arial" w:hAnsi="Arial" w:cs="Arial"/>
          <w:sz w:val="18"/>
          <w:szCs w:val="18"/>
        </w:rPr>
      </w:pPr>
      <w:r>
        <w:rPr>
          <w:rFonts w:ascii="Arial" w:hAnsi="Arial" w:cs="Arial"/>
          <w:sz w:val="18"/>
          <w:szCs w:val="18"/>
        </w:rPr>
        <w:t>Laura Girty, CDBG Coordinator</w:t>
      </w:r>
      <w:r w:rsidRPr="00CD7E2E">
        <w:rPr>
          <w:rFonts w:ascii="Arial" w:hAnsi="Arial" w:cs="Arial"/>
          <w:sz w:val="18"/>
          <w:szCs w:val="18"/>
        </w:rPr>
        <w:t>, City of Enid</w:t>
      </w:r>
    </w:p>
    <w:p w:rsidR="00413597" w:rsidRPr="00BB4F70" w:rsidRDefault="00413597" w:rsidP="00413597">
      <w:pPr>
        <w:pStyle w:val="Heading2"/>
        <w:rPr>
          <w:rFonts w:ascii="Calibri" w:hAnsi="Calibri"/>
          <w:b w:val="0"/>
          <w:i w:val="0"/>
        </w:rPr>
      </w:pPr>
      <w:bookmarkStart w:id="4" w:name="_Toc143516183"/>
      <w:r>
        <w:rPr>
          <w:rFonts w:ascii="Calibri" w:hAnsi="Calibri"/>
          <w:b w:val="0"/>
          <w:i w:val="0"/>
        </w:rPr>
        <w:t>P</w:t>
      </w:r>
      <w:r w:rsidRPr="00BB4F70">
        <w:rPr>
          <w:rFonts w:ascii="Calibri" w:hAnsi="Calibri"/>
          <w:b w:val="0"/>
          <w:i w:val="0"/>
        </w:rPr>
        <w:t xml:space="preserve">ublication/posting </w:t>
      </w:r>
      <w:r w:rsidR="008E4288">
        <w:rPr>
          <w:rFonts w:ascii="Calibri" w:hAnsi="Calibri"/>
          <w:b w:val="0"/>
          <w:i w:val="0"/>
          <w:highlight w:val="yellow"/>
        </w:rPr>
        <w:t>August 24</w:t>
      </w:r>
      <w:r w:rsidRPr="00BB4F70">
        <w:rPr>
          <w:rFonts w:ascii="Calibri" w:hAnsi="Calibri"/>
          <w:b w:val="0"/>
          <w:i w:val="0"/>
        </w:rPr>
        <w:t>, 202</w:t>
      </w:r>
      <w:r>
        <w:rPr>
          <w:rFonts w:ascii="Calibri" w:hAnsi="Calibri"/>
          <w:b w:val="0"/>
          <w:i w:val="0"/>
        </w:rPr>
        <w:t>3</w:t>
      </w:r>
      <w:r w:rsidRPr="00BB4F70">
        <w:rPr>
          <w:rFonts w:ascii="Calibri" w:hAnsi="Calibri"/>
          <w:b w:val="0"/>
          <w:i w:val="0"/>
        </w:rPr>
        <w:t>, Enid News &amp; Eagle</w:t>
      </w:r>
      <w:bookmarkEnd w:id="4"/>
    </w:p>
    <w:p w:rsidR="00413597" w:rsidRDefault="00413597" w:rsidP="00413597">
      <w:pPr>
        <w:rPr>
          <w:rFonts w:cs="Arial"/>
          <w:sz w:val="28"/>
          <w:szCs w:val="28"/>
        </w:rPr>
      </w:pPr>
      <w:r>
        <w:br w:type="page"/>
      </w:r>
    </w:p>
    <w:p w:rsidR="00361F25" w:rsidRDefault="00796AB9">
      <w:pPr>
        <w:pStyle w:val="Heading2"/>
        <w:rPr>
          <w:rFonts w:ascii="Calibri" w:hAnsi="Calibri"/>
          <w:i w:val="0"/>
        </w:rPr>
      </w:pPr>
      <w:bookmarkStart w:id="5" w:name="_Toc143516184"/>
      <w:r>
        <w:rPr>
          <w:rFonts w:ascii="Calibri" w:hAnsi="Calibri"/>
          <w:i w:val="0"/>
        </w:rPr>
        <w:lastRenderedPageBreak/>
        <w:t>CR-05 - Goals and Outcomes</w:t>
      </w:r>
      <w:bookmarkEnd w:id="5"/>
    </w:p>
    <w:p w:rsidR="00361F25" w:rsidRDefault="00796AB9">
      <w:pPr>
        <w:keepNext/>
        <w:widowControl w:val="0"/>
        <w:rPr>
          <w:b/>
          <w:sz w:val="28"/>
          <w:szCs w:val="28"/>
        </w:rPr>
      </w:pPr>
      <w:r>
        <w:rPr>
          <w:b/>
          <w:sz w:val="24"/>
          <w:szCs w:val="24"/>
        </w:rPr>
        <w:t>Progress the jurisdiction has made in carrying out its strategic plan and its action plan.  91.520(a)</w:t>
      </w:r>
      <w:r>
        <w:rPr>
          <w:b/>
          <w:sz w:val="28"/>
          <w:szCs w:val="28"/>
        </w:rPr>
        <w:t xml:space="preserve"> </w:t>
      </w:r>
    </w:p>
    <w:p w:rsidR="00361F25" w:rsidRDefault="00796AB9">
      <w:pPr>
        <w:keepNext/>
        <w:widowControl w:val="0"/>
      </w:pPr>
      <w:r>
        <w:t>This could be an overview that includes major initiatives and highlights that were proposed and executed throughout the program year.</w:t>
      </w:r>
    </w:p>
    <w:p w:rsidR="00361F25" w:rsidRDefault="00361F25">
      <w:pPr>
        <w:keepNext/>
        <w:widowControl w:val="0"/>
        <w:rPr>
          <w:b/>
        </w:rPr>
      </w:pPr>
    </w:p>
    <w:p w:rsidR="00361F25" w:rsidRDefault="00796AB9">
      <w:pPr>
        <w:widowControl w:val="0"/>
        <w:spacing w:beforeAutospacing="1" w:afterAutospacing="1"/>
        <w:rPr>
          <w:szCs w:val="24"/>
        </w:rPr>
      </w:pPr>
      <w:r>
        <w:t>This Consolidated Annual Performance and Evaluation Report (CAPER) describes the activ</w:t>
      </w:r>
      <w:r w:rsidR="00DC55B7">
        <w:t>ities undertaken during the 202</w:t>
      </w:r>
      <w:r w:rsidR="0048349E">
        <w:t>2</w:t>
      </w:r>
      <w:r>
        <w:t xml:space="preserve"> pro</w:t>
      </w:r>
      <w:r w:rsidR="00DC55B7">
        <w:t>gram year beginning July 1, 202</w:t>
      </w:r>
      <w:r w:rsidR="0048349E">
        <w:t>2</w:t>
      </w:r>
      <w:r w:rsidR="00DC55B7">
        <w:t xml:space="preserve"> and ending June 30, 202</w:t>
      </w:r>
      <w:r w:rsidR="0048349E">
        <w:t xml:space="preserve">3 </w:t>
      </w:r>
      <w:r>
        <w:t>using Federal funds granted to the City of Enid by the U.S. Department of Housing and Urban Development (HUD) under the Community Development Block Grant (CDBG) program. Activities and accomplishments described in this report primarily benefit low-income and moderate-income residents of the City of Enid, neighborhoods with high concentrations of low-income and moderate-income residents, and the city as a whole.</w:t>
      </w:r>
    </w:p>
    <w:p w:rsidR="00361F25" w:rsidRDefault="00796AB9">
      <w:pPr>
        <w:widowControl w:val="0"/>
        <w:spacing w:beforeAutospacing="1" w:afterAutospacing="1"/>
        <w:rPr>
          <w:szCs w:val="24"/>
        </w:rPr>
      </w:pPr>
      <w:r>
        <w:t>Through the funding cycle all funds were allocated to programs that would further the goals of the consolidated plan and the CDBG program.  Local needs included social services, housing, and economic development.  The priorities, goals, strategies, activities, and services contained in the plan were designed to improve overall livability, with the main objec</w:t>
      </w:r>
      <w:r w:rsidR="00B37AF7">
        <w:t>t</w:t>
      </w:r>
      <w:r>
        <w:t>ives being Accessibility, Affordabil</w:t>
      </w:r>
      <w:r w:rsidR="00B37AF7">
        <w:t>i</w:t>
      </w:r>
      <w:r>
        <w:t>ty and Sustainability.  The City of Enid has an Americans with Disabilities (ADA) Coordinator on staff.  All projects completed under the City of Enid, regardless of funding source are subject to ADA regulations and compliance.  No project will be approved without conforming to this act. </w:t>
      </w:r>
    </w:p>
    <w:p w:rsidR="00361F25" w:rsidRDefault="00796AB9">
      <w:pPr>
        <w:widowControl w:val="0"/>
        <w:spacing w:beforeAutospacing="1" w:afterAutospacing="1"/>
        <w:rPr>
          <w:szCs w:val="24"/>
        </w:rPr>
      </w:pPr>
      <w:r>
        <w:t> </w:t>
      </w:r>
    </w:p>
    <w:p w:rsidR="00361F25" w:rsidRDefault="00796AB9" w:rsidP="0048349E">
      <w:pPr>
        <w:widowControl w:val="0"/>
        <w:spacing w:beforeAutospacing="1" w:afterAutospacing="1"/>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rsidR="00361F25" w:rsidRDefault="00796AB9">
      <w:pPr>
        <w:keepNext/>
        <w:widowControl w:val="0"/>
        <w:rPr>
          <w:szCs w:val="24"/>
        </w:rPr>
      </w:pPr>
      <w:r>
        <w:t>Categories, priority levels, funding sources and amounts, outcomes/objectives, goal outcome indicators, units of measure, targets, actual outcomes/outputs, and percentage completed for each of the grantee’s program year goals.</w:t>
      </w:r>
    </w:p>
    <w:p w:rsidR="00361F25" w:rsidRDefault="00361F25">
      <w:pPr>
        <w:widowControl w:val="0"/>
        <w:rPr>
          <w:b/>
          <w:sz w:val="24"/>
          <w:szCs w:val="24"/>
        </w:rPr>
      </w:pPr>
    </w:p>
    <w:p w:rsidR="00C92E42" w:rsidRDefault="00C92E42">
      <w:pPr>
        <w:keepNext/>
        <w:widowControl w:val="0"/>
        <w:rPr>
          <w:b/>
        </w:rPr>
        <w:sectPr w:rsidR="00C92E42" w:rsidSect="00FC6645">
          <w:footerReference w:type="default" r:id="rId12"/>
          <w:pgSz w:w="12240" w:h="15840"/>
          <w:pgMar w:top="1440" w:right="1440" w:bottom="1440" w:left="1440" w:header="720" w:footer="720" w:gutter="0"/>
          <w:cols w:space="720"/>
          <w:docGrid w:linePitch="360"/>
        </w:sectPr>
      </w:pPr>
    </w:p>
    <w:tbl>
      <w:tblPr>
        <w:tblStyle w:val="TableGrid"/>
        <w:tblW w:w="13495" w:type="dxa"/>
        <w:tblInd w:w="0" w:type="dxa"/>
        <w:tblLook w:val="04A0" w:firstRow="1" w:lastRow="0" w:firstColumn="1" w:lastColumn="0" w:noHBand="0" w:noVBand="1"/>
      </w:tblPr>
      <w:tblGrid>
        <w:gridCol w:w="2051"/>
        <w:gridCol w:w="1549"/>
        <w:gridCol w:w="1107"/>
        <w:gridCol w:w="2182"/>
        <w:gridCol w:w="1178"/>
        <w:gridCol w:w="975"/>
        <w:gridCol w:w="948"/>
        <w:gridCol w:w="1020"/>
        <w:gridCol w:w="975"/>
        <w:gridCol w:w="929"/>
        <w:gridCol w:w="1020"/>
      </w:tblGrid>
      <w:tr w:rsidR="00361F25" w:rsidTr="003A41DB">
        <w:tc>
          <w:tcPr>
            <w:tcW w:w="2051" w:type="dxa"/>
          </w:tcPr>
          <w:p w:rsidR="00361F25" w:rsidRDefault="00796AB9">
            <w:pPr>
              <w:keepNext/>
              <w:widowControl w:val="0"/>
              <w:spacing w:after="0" w:line="240" w:lineRule="auto"/>
              <w:rPr>
                <w:b/>
              </w:rPr>
            </w:pPr>
            <w:bookmarkStart w:id="6" w:name="_Hlk115256559"/>
            <w:r>
              <w:rPr>
                <w:b/>
              </w:rPr>
              <w:lastRenderedPageBreak/>
              <w:t>Goal</w:t>
            </w:r>
          </w:p>
        </w:tc>
        <w:tc>
          <w:tcPr>
            <w:tcW w:w="1549" w:type="dxa"/>
          </w:tcPr>
          <w:p w:rsidR="00361F25" w:rsidRDefault="00796AB9">
            <w:pPr>
              <w:keepNext/>
              <w:widowControl w:val="0"/>
              <w:spacing w:after="0" w:line="240" w:lineRule="auto"/>
              <w:rPr>
                <w:b/>
              </w:rPr>
            </w:pPr>
            <w:r>
              <w:rPr>
                <w:b/>
              </w:rPr>
              <w:t>Category</w:t>
            </w:r>
          </w:p>
        </w:tc>
        <w:tc>
          <w:tcPr>
            <w:tcW w:w="1107" w:type="dxa"/>
          </w:tcPr>
          <w:p w:rsidR="00361F25" w:rsidRDefault="00796AB9">
            <w:pPr>
              <w:keepNext/>
              <w:widowControl w:val="0"/>
              <w:spacing w:after="0" w:line="240" w:lineRule="auto"/>
              <w:rPr>
                <w:b/>
              </w:rPr>
            </w:pPr>
            <w:r>
              <w:rPr>
                <w:b/>
              </w:rPr>
              <w:t>Source / Amount</w:t>
            </w:r>
          </w:p>
        </w:tc>
        <w:tc>
          <w:tcPr>
            <w:tcW w:w="2182" w:type="dxa"/>
          </w:tcPr>
          <w:p w:rsidR="00361F25" w:rsidRDefault="00796AB9">
            <w:pPr>
              <w:keepNext/>
              <w:widowControl w:val="0"/>
              <w:spacing w:after="0" w:line="240" w:lineRule="auto"/>
              <w:rPr>
                <w:b/>
              </w:rPr>
            </w:pPr>
            <w:r>
              <w:rPr>
                <w:b/>
              </w:rPr>
              <w:t>Indicator</w:t>
            </w:r>
          </w:p>
        </w:tc>
        <w:tc>
          <w:tcPr>
            <w:tcW w:w="1178" w:type="dxa"/>
          </w:tcPr>
          <w:p w:rsidR="00361F25" w:rsidRDefault="00796AB9">
            <w:pPr>
              <w:keepNext/>
              <w:widowControl w:val="0"/>
              <w:spacing w:after="0" w:line="240" w:lineRule="auto"/>
              <w:rPr>
                <w:b/>
              </w:rPr>
            </w:pPr>
            <w:r>
              <w:rPr>
                <w:b/>
              </w:rPr>
              <w:t>Unit of Measure</w:t>
            </w:r>
          </w:p>
        </w:tc>
        <w:tc>
          <w:tcPr>
            <w:tcW w:w="975" w:type="dxa"/>
          </w:tcPr>
          <w:p w:rsidR="00361F25" w:rsidRDefault="00796AB9">
            <w:pPr>
              <w:keepNext/>
              <w:widowControl w:val="0"/>
              <w:spacing w:after="0" w:line="240" w:lineRule="auto"/>
              <w:rPr>
                <w:b/>
              </w:rPr>
            </w:pPr>
            <w:r>
              <w:rPr>
                <w:b/>
              </w:rPr>
              <w:t>Expected – Strategic Plan</w:t>
            </w:r>
          </w:p>
        </w:tc>
        <w:tc>
          <w:tcPr>
            <w:tcW w:w="948" w:type="dxa"/>
          </w:tcPr>
          <w:p w:rsidR="00361F25" w:rsidRDefault="00796AB9">
            <w:pPr>
              <w:keepNext/>
              <w:widowControl w:val="0"/>
              <w:spacing w:after="0" w:line="240" w:lineRule="auto"/>
              <w:rPr>
                <w:b/>
              </w:rPr>
            </w:pPr>
            <w:r>
              <w:rPr>
                <w:b/>
              </w:rPr>
              <w:t>Actual – Strategic Plan</w:t>
            </w:r>
          </w:p>
        </w:tc>
        <w:tc>
          <w:tcPr>
            <w:tcW w:w="1020" w:type="dxa"/>
          </w:tcPr>
          <w:p w:rsidR="00361F25" w:rsidRDefault="00796AB9">
            <w:pPr>
              <w:keepNext/>
              <w:widowControl w:val="0"/>
              <w:spacing w:after="0" w:line="240" w:lineRule="auto"/>
              <w:rPr>
                <w:b/>
              </w:rPr>
            </w:pPr>
            <w:r>
              <w:rPr>
                <w:b/>
              </w:rPr>
              <w:t>Percent Complete</w:t>
            </w:r>
          </w:p>
        </w:tc>
        <w:tc>
          <w:tcPr>
            <w:tcW w:w="975" w:type="dxa"/>
          </w:tcPr>
          <w:p w:rsidR="00361F25" w:rsidRDefault="00796AB9">
            <w:pPr>
              <w:keepNext/>
              <w:widowControl w:val="0"/>
              <w:spacing w:after="0" w:line="240" w:lineRule="auto"/>
              <w:rPr>
                <w:b/>
              </w:rPr>
            </w:pPr>
            <w:r>
              <w:rPr>
                <w:b/>
              </w:rPr>
              <w:t>Expected – Program Year</w:t>
            </w:r>
          </w:p>
        </w:tc>
        <w:tc>
          <w:tcPr>
            <w:tcW w:w="929" w:type="dxa"/>
          </w:tcPr>
          <w:p w:rsidR="00361F25" w:rsidRDefault="00796AB9">
            <w:pPr>
              <w:keepNext/>
              <w:widowControl w:val="0"/>
              <w:spacing w:after="0" w:line="240" w:lineRule="auto"/>
              <w:rPr>
                <w:b/>
              </w:rPr>
            </w:pPr>
            <w:r>
              <w:rPr>
                <w:b/>
              </w:rPr>
              <w:t>Actual – Program Year</w:t>
            </w:r>
          </w:p>
        </w:tc>
        <w:tc>
          <w:tcPr>
            <w:tcW w:w="581" w:type="dxa"/>
          </w:tcPr>
          <w:p w:rsidR="00361F25" w:rsidRDefault="00796AB9">
            <w:pPr>
              <w:keepNext/>
              <w:widowControl w:val="0"/>
              <w:spacing w:after="0" w:line="240" w:lineRule="auto"/>
              <w:rPr>
                <w:b/>
              </w:rPr>
            </w:pPr>
            <w:r>
              <w:rPr>
                <w:b/>
              </w:rPr>
              <w:t>Percent Complete</w:t>
            </w:r>
          </w:p>
        </w:tc>
      </w:tr>
      <w:tr w:rsidR="0055520B" w:rsidTr="003A41DB">
        <w:trPr>
          <w:cantSplit/>
        </w:trPr>
        <w:tc>
          <w:tcPr>
            <w:tcW w:w="0" w:type="auto"/>
            <w:vAlign w:val="center"/>
          </w:tcPr>
          <w:p w:rsidR="0055520B" w:rsidRDefault="0055520B">
            <w:pPr>
              <w:spacing w:beforeAutospacing="1" w:afterAutospacing="1"/>
            </w:pPr>
            <w:r>
              <w:rPr>
                <w:color w:val="000000"/>
                <w:sz w:val="22"/>
              </w:rPr>
              <w:t>Administration</w:t>
            </w:r>
          </w:p>
        </w:tc>
        <w:tc>
          <w:tcPr>
            <w:tcW w:w="0" w:type="auto"/>
            <w:vAlign w:val="center"/>
          </w:tcPr>
          <w:p w:rsidR="0055520B" w:rsidRDefault="0055520B">
            <w:pPr>
              <w:spacing w:beforeAutospacing="1" w:afterAutospacing="1"/>
            </w:pPr>
            <w:r>
              <w:rPr>
                <w:color w:val="000000"/>
                <w:sz w:val="22"/>
              </w:rPr>
              <w:t>Non-Housing Community Development</w:t>
            </w:r>
            <w:r>
              <w:rPr>
                <w:color w:val="000000"/>
                <w:sz w:val="22"/>
              </w:rPr>
              <w:br/>
              <w:t>Administration</w:t>
            </w:r>
          </w:p>
        </w:tc>
        <w:tc>
          <w:tcPr>
            <w:tcW w:w="0" w:type="auto"/>
            <w:vAlign w:val="center"/>
          </w:tcPr>
          <w:p w:rsidR="0055520B" w:rsidRDefault="0055520B">
            <w:pPr>
              <w:spacing w:beforeAutospacing="1" w:afterAutospacing="1"/>
            </w:pPr>
            <w:r>
              <w:rPr>
                <w:color w:val="000000"/>
                <w:sz w:val="22"/>
              </w:rPr>
              <w:t>CDBG: $80,00</w:t>
            </w:r>
            <w:r w:rsidR="00661836">
              <w:rPr>
                <w:color w:val="000000"/>
                <w:sz w:val="22"/>
              </w:rPr>
              <w:t>0</w:t>
            </w:r>
          </w:p>
        </w:tc>
        <w:tc>
          <w:tcPr>
            <w:tcW w:w="0" w:type="auto"/>
            <w:vAlign w:val="center"/>
          </w:tcPr>
          <w:p w:rsidR="0055520B" w:rsidRDefault="0055520B">
            <w:pPr>
              <w:spacing w:beforeAutospacing="1" w:afterAutospacing="1"/>
            </w:pPr>
            <w:r>
              <w:rPr>
                <w:color w:val="000000"/>
                <w:sz w:val="22"/>
              </w:rPr>
              <w:t>Other</w:t>
            </w:r>
          </w:p>
        </w:tc>
        <w:tc>
          <w:tcPr>
            <w:tcW w:w="0" w:type="auto"/>
            <w:vAlign w:val="center"/>
          </w:tcPr>
          <w:p w:rsidR="0055520B" w:rsidRDefault="0055520B">
            <w:pPr>
              <w:spacing w:beforeAutospacing="1" w:afterAutospacing="1"/>
            </w:pPr>
            <w:r>
              <w:rPr>
                <w:color w:val="000000"/>
                <w:sz w:val="22"/>
              </w:rPr>
              <w:t>Other</w:t>
            </w:r>
          </w:p>
        </w:tc>
        <w:tc>
          <w:tcPr>
            <w:tcW w:w="0" w:type="auto"/>
            <w:vAlign w:val="center"/>
          </w:tcPr>
          <w:p w:rsidR="0055520B" w:rsidRDefault="0055520B">
            <w:pPr>
              <w:spacing w:beforeAutospacing="1" w:afterAutospacing="1"/>
            </w:pPr>
            <w:r>
              <w:rPr>
                <w:color w:val="000000"/>
                <w:sz w:val="22"/>
              </w:rPr>
              <w:t xml:space="preserve"> 1</w:t>
            </w:r>
          </w:p>
        </w:tc>
        <w:tc>
          <w:tcPr>
            <w:tcW w:w="0" w:type="auto"/>
            <w:vAlign w:val="center"/>
          </w:tcPr>
          <w:p w:rsidR="0055520B" w:rsidRDefault="0055520B">
            <w:pPr>
              <w:spacing w:beforeAutospacing="1" w:afterAutospacing="1"/>
            </w:pPr>
            <w:r>
              <w:rPr>
                <w:color w:val="000000"/>
                <w:sz w:val="22"/>
              </w:rPr>
              <w:t>1</w:t>
            </w:r>
          </w:p>
        </w:tc>
        <w:tc>
          <w:tcPr>
            <w:tcW w:w="0" w:type="auto"/>
            <w:vAlign w:val="center"/>
          </w:tcPr>
          <w:p w:rsidR="0055520B" w:rsidRDefault="0055520B">
            <w:pPr>
              <w:spacing w:beforeAutospacing="1" w:afterAutospacing="1"/>
            </w:pPr>
            <w:r>
              <w:rPr>
                <w:color w:val="000000"/>
                <w:sz w:val="22"/>
              </w:rPr>
              <w:t xml:space="preserve"> 100.00%</w:t>
            </w:r>
          </w:p>
        </w:tc>
        <w:tc>
          <w:tcPr>
            <w:tcW w:w="0" w:type="auto"/>
            <w:vAlign w:val="center"/>
          </w:tcPr>
          <w:p w:rsidR="0055520B" w:rsidRDefault="0055520B">
            <w:pPr>
              <w:spacing w:beforeAutospacing="1" w:afterAutospacing="1"/>
            </w:pPr>
            <w:r>
              <w:rPr>
                <w:color w:val="000000"/>
                <w:sz w:val="22"/>
              </w:rPr>
              <w:t>1</w:t>
            </w:r>
          </w:p>
        </w:tc>
        <w:tc>
          <w:tcPr>
            <w:tcW w:w="0" w:type="auto"/>
            <w:vAlign w:val="center"/>
          </w:tcPr>
          <w:p w:rsidR="0055520B" w:rsidRDefault="0055520B">
            <w:pPr>
              <w:spacing w:beforeAutospacing="1" w:afterAutospacing="1"/>
            </w:pPr>
            <w:r>
              <w:rPr>
                <w:color w:val="000000"/>
                <w:sz w:val="22"/>
              </w:rPr>
              <w:t>1</w:t>
            </w:r>
          </w:p>
        </w:tc>
        <w:tc>
          <w:tcPr>
            <w:tcW w:w="581" w:type="dxa"/>
            <w:vAlign w:val="center"/>
          </w:tcPr>
          <w:p w:rsidR="0055520B" w:rsidRDefault="0055520B">
            <w:pPr>
              <w:spacing w:beforeAutospacing="1" w:afterAutospacing="1"/>
            </w:pPr>
            <w:r>
              <w:rPr>
                <w:color w:val="000000"/>
                <w:sz w:val="22"/>
              </w:rPr>
              <w:t xml:space="preserve">       100.00%</w:t>
            </w:r>
          </w:p>
        </w:tc>
      </w:tr>
      <w:tr w:rsidR="003F50A9" w:rsidTr="003A41DB">
        <w:trPr>
          <w:cantSplit/>
        </w:trPr>
        <w:tc>
          <w:tcPr>
            <w:tcW w:w="0" w:type="auto"/>
            <w:vMerge w:val="restart"/>
            <w:vAlign w:val="center"/>
          </w:tcPr>
          <w:p w:rsidR="003F50A9" w:rsidRDefault="003F50A9">
            <w:pPr>
              <w:spacing w:beforeAutospacing="1" w:afterAutospacing="1"/>
            </w:pPr>
            <w:r>
              <w:rPr>
                <w:color w:val="000000"/>
                <w:sz w:val="22"/>
              </w:rPr>
              <w:t>Community Development/Public Facilities</w:t>
            </w:r>
          </w:p>
        </w:tc>
        <w:tc>
          <w:tcPr>
            <w:tcW w:w="0" w:type="auto"/>
            <w:vMerge w:val="restart"/>
            <w:vAlign w:val="center"/>
          </w:tcPr>
          <w:p w:rsidR="003F50A9" w:rsidRDefault="003F50A9">
            <w:pPr>
              <w:spacing w:beforeAutospacing="1" w:afterAutospacing="1"/>
            </w:pPr>
            <w:r>
              <w:rPr>
                <w:color w:val="000000"/>
                <w:sz w:val="22"/>
              </w:rPr>
              <w:t>Non-Housing Community Development</w:t>
            </w:r>
          </w:p>
        </w:tc>
        <w:tc>
          <w:tcPr>
            <w:tcW w:w="0" w:type="auto"/>
            <w:vMerge w:val="restart"/>
            <w:vAlign w:val="center"/>
          </w:tcPr>
          <w:p w:rsidR="003F50A9" w:rsidRDefault="003F50A9">
            <w:pPr>
              <w:spacing w:beforeAutospacing="1" w:afterAutospacing="1"/>
            </w:pPr>
            <w:r>
              <w:rPr>
                <w:color w:val="000000"/>
                <w:sz w:val="22"/>
              </w:rPr>
              <w:t>CDBG: $2</w:t>
            </w:r>
            <w:r w:rsidR="00661836">
              <w:rPr>
                <w:color w:val="000000"/>
                <w:sz w:val="22"/>
              </w:rPr>
              <w:t>02,736</w:t>
            </w:r>
          </w:p>
        </w:tc>
        <w:tc>
          <w:tcPr>
            <w:tcW w:w="0" w:type="auto"/>
            <w:vAlign w:val="center"/>
          </w:tcPr>
          <w:p w:rsidR="003F50A9" w:rsidRDefault="003F50A9">
            <w:pPr>
              <w:spacing w:beforeAutospacing="1" w:afterAutospacing="1"/>
            </w:pPr>
            <w:r>
              <w:rPr>
                <w:color w:val="000000"/>
                <w:sz w:val="22"/>
              </w:rPr>
              <w:t>Public Facility or Infrastructure Activities other than Low/Moderate Income Housing Benefit</w:t>
            </w:r>
          </w:p>
        </w:tc>
        <w:tc>
          <w:tcPr>
            <w:tcW w:w="0" w:type="auto"/>
            <w:vAlign w:val="center"/>
          </w:tcPr>
          <w:p w:rsidR="003F50A9" w:rsidRDefault="003F50A9">
            <w:pPr>
              <w:spacing w:beforeAutospacing="1" w:afterAutospacing="1"/>
            </w:pPr>
            <w:r>
              <w:rPr>
                <w:color w:val="000000"/>
                <w:sz w:val="22"/>
              </w:rPr>
              <w:t>Persons Assisted</w:t>
            </w:r>
          </w:p>
        </w:tc>
        <w:tc>
          <w:tcPr>
            <w:tcW w:w="0" w:type="auto"/>
            <w:vAlign w:val="center"/>
          </w:tcPr>
          <w:p w:rsidR="003F50A9" w:rsidRDefault="003F50A9">
            <w:pPr>
              <w:spacing w:beforeAutospacing="1" w:afterAutospacing="1"/>
            </w:pPr>
            <w:r>
              <w:rPr>
                <w:color w:val="000000"/>
                <w:sz w:val="22"/>
              </w:rPr>
              <w:t>7050</w:t>
            </w:r>
          </w:p>
        </w:tc>
        <w:tc>
          <w:tcPr>
            <w:tcW w:w="0" w:type="auto"/>
            <w:vAlign w:val="center"/>
          </w:tcPr>
          <w:p w:rsidR="003F50A9" w:rsidRDefault="00661836">
            <w:pPr>
              <w:spacing w:beforeAutospacing="1" w:afterAutospacing="1"/>
            </w:pPr>
            <w:r w:rsidRPr="00661836">
              <w:rPr>
                <w:color w:val="000000"/>
                <w:sz w:val="22"/>
                <w:highlight w:val="cyan"/>
              </w:rPr>
              <w:t>6172</w:t>
            </w:r>
          </w:p>
        </w:tc>
        <w:tc>
          <w:tcPr>
            <w:tcW w:w="0" w:type="auto"/>
            <w:vAlign w:val="center"/>
          </w:tcPr>
          <w:p w:rsidR="003F50A9" w:rsidRPr="007C5379" w:rsidRDefault="003F50A9">
            <w:pPr>
              <w:spacing w:beforeAutospacing="1" w:afterAutospacing="1"/>
            </w:pPr>
            <w:r w:rsidRPr="007C5379">
              <w:rPr>
                <w:color w:val="000000"/>
                <w:sz w:val="22"/>
              </w:rPr>
              <w:t xml:space="preserve">         </w:t>
            </w:r>
            <w:r w:rsidR="00105CFF">
              <w:rPr>
                <w:color w:val="000000"/>
                <w:sz w:val="22"/>
              </w:rPr>
              <w:t>87.5</w:t>
            </w:r>
            <w:r w:rsidRPr="007C5379">
              <w:rPr>
                <w:color w:val="000000"/>
                <w:sz w:val="22"/>
              </w:rPr>
              <w:t>%</w:t>
            </w:r>
          </w:p>
        </w:tc>
        <w:tc>
          <w:tcPr>
            <w:tcW w:w="0" w:type="auto"/>
            <w:vAlign w:val="center"/>
          </w:tcPr>
          <w:p w:rsidR="003F50A9" w:rsidRPr="007C5379" w:rsidRDefault="00661836">
            <w:pPr>
              <w:spacing w:beforeAutospacing="1" w:afterAutospacing="1"/>
            </w:pPr>
            <w:r>
              <w:rPr>
                <w:color w:val="000000"/>
                <w:sz w:val="22"/>
              </w:rPr>
              <w:t>550</w:t>
            </w:r>
          </w:p>
        </w:tc>
        <w:tc>
          <w:tcPr>
            <w:tcW w:w="0" w:type="auto"/>
            <w:vAlign w:val="center"/>
          </w:tcPr>
          <w:p w:rsidR="003F50A9" w:rsidRPr="007C5379" w:rsidRDefault="00105CFF">
            <w:pPr>
              <w:spacing w:beforeAutospacing="1" w:afterAutospacing="1"/>
            </w:pPr>
            <w:r w:rsidRPr="00105CFF">
              <w:rPr>
                <w:color w:val="000000"/>
                <w:sz w:val="22"/>
                <w:highlight w:val="cyan"/>
              </w:rPr>
              <w:t>210</w:t>
            </w:r>
          </w:p>
        </w:tc>
        <w:tc>
          <w:tcPr>
            <w:tcW w:w="581" w:type="dxa"/>
            <w:vAlign w:val="center"/>
          </w:tcPr>
          <w:p w:rsidR="003F50A9" w:rsidRPr="007C5379" w:rsidRDefault="003F50A9">
            <w:pPr>
              <w:spacing w:beforeAutospacing="1" w:afterAutospacing="1"/>
            </w:pPr>
            <w:r w:rsidRPr="007C5379">
              <w:rPr>
                <w:color w:val="000000"/>
                <w:sz w:val="22"/>
              </w:rPr>
              <w:t xml:space="preserve">        </w:t>
            </w:r>
            <w:r w:rsidR="00105CFF">
              <w:rPr>
                <w:color w:val="000000"/>
                <w:sz w:val="22"/>
              </w:rPr>
              <w:t>38%</w:t>
            </w:r>
          </w:p>
        </w:tc>
      </w:tr>
      <w:tr w:rsidR="003F50A9" w:rsidTr="003A41DB">
        <w:trPr>
          <w:cantSplit/>
        </w:trPr>
        <w:tc>
          <w:tcPr>
            <w:tcW w:w="0" w:type="auto"/>
            <w:vMerge/>
            <w:vAlign w:val="center"/>
          </w:tcPr>
          <w:p w:rsidR="003F50A9" w:rsidRDefault="003F50A9">
            <w:pPr>
              <w:spacing w:beforeAutospacing="1" w:afterAutospacing="1"/>
            </w:pPr>
          </w:p>
        </w:tc>
        <w:tc>
          <w:tcPr>
            <w:tcW w:w="0" w:type="auto"/>
            <w:vMerge/>
            <w:vAlign w:val="center"/>
          </w:tcPr>
          <w:p w:rsidR="003F50A9" w:rsidRDefault="003F50A9">
            <w:pPr>
              <w:spacing w:beforeAutospacing="1" w:afterAutospacing="1"/>
            </w:pPr>
          </w:p>
        </w:tc>
        <w:tc>
          <w:tcPr>
            <w:tcW w:w="0" w:type="auto"/>
            <w:vMerge/>
            <w:vAlign w:val="center"/>
          </w:tcPr>
          <w:p w:rsidR="003F50A9" w:rsidRDefault="003F50A9">
            <w:pPr>
              <w:spacing w:beforeAutospacing="1" w:afterAutospacing="1"/>
            </w:pPr>
          </w:p>
        </w:tc>
        <w:tc>
          <w:tcPr>
            <w:tcW w:w="0" w:type="auto"/>
            <w:vAlign w:val="center"/>
          </w:tcPr>
          <w:p w:rsidR="003F50A9" w:rsidRDefault="003F50A9">
            <w:pPr>
              <w:spacing w:beforeAutospacing="1" w:afterAutospacing="1"/>
            </w:pPr>
            <w:r>
              <w:rPr>
                <w:color w:val="000000"/>
                <w:sz w:val="22"/>
              </w:rPr>
              <w:t>Public service activities other than Low/Moderate Income Housing Benefit</w:t>
            </w:r>
          </w:p>
        </w:tc>
        <w:tc>
          <w:tcPr>
            <w:tcW w:w="0" w:type="auto"/>
            <w:vAlign w:val="center"/>
          </w:tcPr>
          <w:p w:rsidR="003F50A9" w:rsidRDefault="003F50A9">
            <w:pPr>
              <w:spacing w:beforeAutospacing="1" w:afterAutospacing="1"/>
            </w:pPr>
            <w:r>
              <w:rPr>
                <w:color w:val="000000"/>
                <w:sz w:val="22"/>
              </w:rPr>
              <w:t>Persons Assisted</w:t>
            </w:r>
          </w:p>
        </w:tc>
        <w:tc>
          <w:tcPr>
            <w:tcW w:w="0" w:type="auto"/>
            <w:vAlign w:val="center"/>
          </w:tcPr>
          <w:p w:rsidR="003F50A9" w:rsidRDefault="003F50A9">
            <w:pPr>
              <w:spacing w:beforeAutospacing="1" w:afterAutospacing="1"/>
            </w:pPr>
            <w:r>
              <w:rPr>
                <w:color w:val="000000"/>
                <w:sz w:val="22"/>
              </w:rPr>
              <w:t xml:space="preserve"> </w:t>
            </w:r>
            <w:r w:rsidR="007C5379">
              <w:rPr>
                <w:color w:val="000000"/>
                <w:sz w:val="22"/>
              </w:rPr>
              <w:t>0</w:t>
            </w:r>
          </w:p>
        </w:tc>
        <w:tc>
          <w:tcPr>
            <w:tcW w:w="0" w:type="auto"/>
            <w:vAlign w:val="center"/>
          </w:tcPr>
          <w:p w:rsidR="003F50A9" w:rsidRDefault="003F50A9">
            <w:pPr>
              <w:spacing w:beforeAutospacing="1" w:afterAutospacing="1"/>
            </w:pPr>
            <w:r>
              <w:rPr>
                <w:color w:val="000000"/>
                <w:sz w:val="22"/>
              </w:rPr>
              <w:t>0</w:t>
            </w:r>
          </w:p>
        </w:tc>
        <w:tc>
          <w:tcPr>
            <w:tcW w:w="0" w:type="auto"/>
            <w:vAlign w:val="center"/>
          </w:tcPr>
          <w:p w:rsidR="003F50A9" w:rsidRDefault="003F50A9">
            <w:pPr>
              <w:spacing w:beforeAutospacing="1" w:afterAutospacing="1"/>
            </w:pPr>
            <w:r>
              <w:rPr>
                <w:color w:val="000000"/>
                <w:sz w:val="22"/>
              </w:rPr>
              <w:t xml:space="preserve"> </w:t>
            </w:r>
            <w:r w:rsidR="007C5379">
              <w:rPr>
                <w:color w:val="000000"/>
                <w:sz w:val="22"/>
              </w:rPr>
              <w:t>0</w:t>
            </w:r>
          </w:p>
        </w:tc>
        <w:tc>
          <w:tcPr>
            <w:tcW w:w="0" w:type="auto"/>
            <w:vAlign w:val="center"/>
          </w:tcPr>
          <w:p w:rsidR="003F50A9" w:rsidRDefault="003F50A9">
            <w:pPr>
              <w:spacing w:beforeAutospacing="1" w:afterAutospacing="1"/>
            </w:pPr>
            <w:r>
              <w:rPr>
                <w:color w:val="000000"/>
                <w:sz w:val="22"/>
              </w:rPr>
              <w:t xml:space="preserve"> </w:t>
            </w:r>
            <w:r w:rsidR="007C5379">
              <w:rPr>
                <w:color w:val="000000"/>
                <w:sz w:val="22"/>
              </w:rPr>
              <w:t>0</w:t>
            </w:r>
          </w:p>
        </w:tc>
        <w:tc>
          <w:tcPr>
            <w:tcW w:w="0" w:type="auto"/>
            <w:vAlign w:val="center"/>
          </w:tcPr>
          <w:p w:rsidR="003F50A9" w:rsidRDefault="003F50A9">
            <w:pPr>
              <w:spacing w:beforeAutospacing="1" w:afterAutospacing="1"/>
            </w:pPr>
            <w:r>
              <w:rPr>
                <w:color w:val="000000"/>
                <w:sz w:val="22"/>
              </w:rPr>
              <w:t xml:space="preserve"> </w:t>
            </w:r>
            <w:r w:rsidR="007C5379">
              <w:rPr>
                <w:color w:val="000000"/>
                <w:sz w:val="22"/>
              </w:rPr>
              <w:t>0</w:t>
            </w:r>
          </w:p>
        </w:tc>
        <w:tc>
          <w:tcPr>
            <w:tcW w:w="581" w:type="dxa"/>
            <w:vAlign w:val="center"/>
          </w:tcPr>
          <w:p w:rsidR="003F50A9" w:rsidRDefault="003F50A9">
            <w:pPr>
              <w:spacing w:beforeAutospacing="1" w:afterAutospacing="1"/>
            </w:pPr>
            <w:r>
              <w:rPr>
                <w:color w:val="000000"/>
                <w:sz w:val="22"/>
              </w:rPr>
              <w:t xml:space="preserve"> </w:t>
            </w:r>
            <w:r w:rsidR="007C5379">
              <w:rPr>
                <w:color w:val="000000"/>
                <w:sz w:val="22"/>
              </w:rPr>
              <w:t>0</w:t>
            </w:r>
          </w:p>
        </w:tc>
      </w:tr>
      <w:tr w:rsidR="003F50A9" w:rsidTr="003A41DB">
        <w:trPr>
          <w:cantSplit/>
        </w:trPr>
        <w:tc>
          <w:tcPr>
            <w:tcW w:w="0" w:type="auto"/>
            <w:vMerge/>
            <w:vAlign w:val="center"/>
          </w:tcPr>
          <w:p w:rsidR="003F50A9" w:rsidRDefault="003F50A9">
            <w:pPr>
              <w:spacing w:beforeAutospacing="1" w:afterAutospacing="1"/>
            </w:pPr>
          </w:p>
        </w:tc>
        <w:tc>
          <w:tcPr>
            <w:tcW w:w="0" w:type="auto"/>
            <w:vMerge/>
            <w:vAlign w:val="center"/>
          </w:tcPr>
          <w:p w:rsidR="003F50A9" w:rsidRDefault="003F50A9">
            <w:pPr>
              <w:spacing w:beforeAutospacing="1" w:afterAutospacing="1"/>
            </w:pPr>
          </w:p>
        </w:tc>
        <w:tc>
          <w:tcPr>
            <w:tcW w:w="0" w:type="auto"/>
            <w:vMerge/>
            <w:vAlign w:val="center"/>
          </w:tcPr>
          <w:p w:rsidR="003F50A9" w:rsidRDefault="003F50A9">
            <w:pPr>
              <w:spacing w:beforeAutospacing="1" w:afterAutospacing="1"/>
            </w:pPr>
          </w:p>
        </w:tc>
        <w:tc>
          <w:tcPr>
            <w:tcW w:w="0" w:type="auto"/>
            <w:vAlign w:val="center"/>
          </w:tcPr>
          <w:p w:rsidR="003F50A9" w:rsidRDefault="003F50A9">
            <w:pPr>
              <w:spacing w:beforeAutospacing="1" w:afterAutospacing="1"/>
            </w:pPr>
            <w:r>
              <w:rPr>
                <w:color w:val="000000"/>
                <w:sz w:val="22"/>
              </w:rPr>
              <w:t>Homeless Person Overnight Shelter</w:t>
            </w:r>
          </w:p>
        </w:tc>
        <w:tc>
          <w:tcPr>
            <w:tcW w:w="0" w:type="auto"/>
            <w:vAlign w:val="center"/>
          </w:tcPr>
          <w:p w:rsidR="003F50A9" w:rsidRDefault="003F50A9">
            <w:pPr>
              <w:spacing w:beforeAutospacing="1" w:afterAutospacing="1"/>
            </w:pPr>
            <w:r>
              <w:rPr>
                <w:color w:val="000000"/>
                <w:sz w:val="22"/>
              </w:rPr>
              <w:t>Persons Assisted</w:t>
            </w:r>
          </w:p>
        </w:tc>
        <w:tc>
          <w:tcPr>
            <w:tcW w:w="0" w:type="auto"/>
            <w:vAlign w:val="center"/>
          </w:tcPr>
          <w:p w:rsidR="003F50A9" w:rsidRDefault="003F50A9">
            <w:pPr>
              <w:spacing w:beforeAutospacing="1" w:afterAutospacing="1"/>
            </w:pPr>
            <w:r>
              <w:rPr>
                <w:color w:val="000000"/>
                <w:sz w:val="22"/>
              </w:rPr>
              <w:t>0</w:t>
            </w:r>
          </w:p>
        </w:tc>
        <w:tc>
          <w:tcPr>
            <w:tcW w:w="0" w:type="auto"/>
            <w:vAlign w:val="center"/>
          </w:tcPr>
          <w:p w:rsidR="003F50A9" w:rsidRDefault="003F50A9">
            <w:pPr>
              <w:spacing w:beforeAutospacing="1" w:afterAutospacing="1"/>
            </w:pPr>
            <w:r>
              <w:rPr>
                <w:color w:val="000000"/>
                <w:sz w:val="22"/>
              </w:rPr>
              <w:t>0</w:t>
            </w:r>
          </w:p>
        </w:tc>
        <w:tc>
          <w:tcPr>
            <w:tcW w:w="0" w:type="auto"/>
            <w:vAlign w:val="center"/>
          </w:tcPr>
          <w:p w:rsidR="003F50A9" w:rsidRDefault="003F50A9">
            <w:pPr>
              <w:spacing w:beforeAutospacing="1" w:afterAutospacing="1"/>
            </w:pPr>
            <w:r>
              <w:rPr>
                <w:color w:val="000000"/>
                <w:sz w:val="22"/>
              </w:rPr>
              <w:t xml:space="preserve"> </w:t>
            </w:r>
            <w:r w:rsidR="007C5379">
              <w:rPr>
                <w:color w:val="000000"/>
                <w:sz w:val="22"/>
              </w:rPr>
              <w:t>0</w:t>
            </w:r>
          </w:p>
        </w:tc>
        <w:tc>
          <w:tcPr>
            <w:tcW w:w="0" w:type="auto"/>
            <w:vAlign w:val="center"/>
          </w:tcPr>
          <w:p w:rsidR="003F50A9" w:rsidRDefault="007C5379">
            <w:pPr>
              <w:spacing w:beforeAutospacing="1" w:afterAutospacing="1"/>
            </w:pPr>
            <w:r>
              <w:t>0</w:t>
            </w:r>
          </w:p>
        </w:tc>
        <w:tc>
          <w:tcPr>
            <w:tcW w:w="0" w:type="auto"/>
            <w:vAlign w:val="center"/>
          </w:tcPr>
          <w:p w:rsidR="003F50A9" w:rsidRDefault="007C5379">
            <w:pPr>
              <w:spacing w:beforeAutospacing="1" w:afterAutospacing="1"/>
            </w:pPr>
            <w:r>
              <w:t>0</w:t>
            </w:r>
          </w:p>
        </w:tc>
        <w:tc>
          <w:tcPr>
            <w:tcW w:w="581" w:type="dxa"/>
            <w:vAlign w:val="center"/>
          </w:tcPr>
          <w:p w:rsidR="003F50A9" w:rsidRDefault="007C5379">
            <w:pPr>
              <w:spacing w:beforeAutospacing="1" w:afterAutospacing="1"/>
            </w:pPr>
            <w:r>
              <w:t>0</w:t>
            </w:r>
          </w:p>
        </w:tc>
      </w:tr>
      <w:tr w:rsidR="003F50A9" w:rsidTr="003A41DB">
        <w:trPr>
          <w:cantSplit/>
        </w:trPr>
        <w:tc>
          <w:tcPr>
            <w:tcW w:w="0" w:type="auto"/>
            <w:vMerge/>
            <w:vAlign w:val="center"/>
          </w:tcPr>
          <w:p w:rsidR="003F50A9" w:rsidRDefault="003F50A9">
            <w:pPr>
              <w:spacing w:beforeAutospacing="1" w:afterAutospacing="1"/>
            </w:pPr>
          </w:p>
        </w:tc>
        <w:tc>
          <w:tcPr>
            <w:tcW w:w="0" w:type="auto"/>
            <w:vMerge/>
            <w:vAlign w:val="center"/>
          </w:tcPr>
          <w:p w:rsidR="003F50A9" w:rsidRDefault="003F50A9">
            <w:pPr>
              <w:spacing w:beforeAutospacing="1" w:afterAutospacing="1"/>
            </w:pPr>
          </w:p>
        </w:tc>
        <w:tc>
          <w:tcPr>
            <w:tcW w:w="0" w:type="auto"/>
            <w:vMerge/>
            <w:vAlign w:val="center"/>
          </w:tcPr>
          <w:p w:rsidR="003F50A9" w:rsidRDefault="003F50A9">
            <w:pPr>
              <w:spacing w:beforeAutospacing="1" w:afterAutospacing="1"/>
            </w:pPr>
          </w:p>
        </w:tc>
        <w:tc>
          <w:tcPr>
            <w:tcW w:w="0" w:type="auto"/>
            <w:vAlign w:val="center"/>
          </w:tcPr>
          <w:p w:rsidR="003F50A9" w:rsidRDefault="003F50A9">
            <w:pPr>
              <w:spacing w:beforeAutospacing="1" w:afterAutospacing="1"/>
            </w:pPr>
            <w:r>
              <w:rPr>
                <w:color w:val="000000"/>
                <w:sz w:val="22"/>
              </w:rPr>
              <w:t>Overnight/Emergency Shelter/Transitional Housing Beds added</w:t>
            </w:r>
          </w:p>
        </w:tc>
        <w:tc>
          <w:tcPr>
            <w:tcW w:w="0" w:type="auto"/>
            <w:vAlign w:val="center"/>
          </w:tcPr>
          <w:p w:rsidR="003F50A9" w:rsidRDefault="003F50A9">
            <w:pPr>
              <w:spacing w:beforeAutospacing="1" w:afterAutospacing="1"/>
            </w:pPr>
            <w:r>
              <w:rPr>
                <w:color w:val="000000"/>
                <w:sz w:val="22"/>
              </w:rPr>
              <w:t>Beds</w:t>
            </w:r>
          </w:p>
        </w:tc>
        <w:tc>
          <w:tcPr>
            <w:tcW w:w="0" w:type="auto"/>
            <w:vAlign w:val="center"/>
          </w:tcPr>
          <w:p w:rsidR="003F50A9" w:rsidRDefault="003F50A9">
            <w:pPr>
              <w:spacing w:beforeAutospacing="1" w:afterAutospacing="1"/>
            </w:pPr>
            <w:r>
              <w:rPr>
                <w:color w:val="000000"/>
                <w:sz w:val="22"/>
              </w:rPr>
              <w:t>0</w:t>
            </w:r>
          </w:p>
        </w:tc>
        <w:tc>
          <w:tcPr>
            <w:tcW w:w="0" w:type="auto"/>
            <w:vAlign w:val="center"/>
          </w:tcPr>
          <w:p w:rsidR="003F50A9" w:rsidRDefault="003F50A9">
            <w:pPr>
              <w:spacing w:beforeAutospacing="1" w:afterAutospacing="1"/>
            </w:pPr>
            <w:r>
              <w:rPr>
                <w:color w:val="000000"/>
                <w:sz w:val="22"/>
              </w:rPr>
              <w:t>0</w:t>
            </w:r>
          </w:p>
        </w:tc>
        <w:tc>
          <w:tcPr>
            <w:tcW w:w="0" w:type="auto"/>
            <w:vAlign w:val="center"/>
          </w:tcPr>
          <w:p w:rsidR="003F50A9" w:rsidRDefault="003F50A9">
            <w:pPr>
              <w:spacing w:beforeAutospacing="1" w:afterAutospacing="1"/>
            </w:pPr>
            <w:r>
              <w:rPr>
                <w:color w:val="000000"/>
                <w:sz w:val="22"/>
              </w:rPr>
              <w:t xml:space="preserve"> </w:t>
            </w:r>
            <w:r w:rsidR="007C5379">
              <w:rPr>
                <w:color w:val="000000"/>
                <w:sz w:val="22"/>
              </w:rPr>
              <w:t>0</w:t>
            </w:r>
          </w:p>
        </w:tc>
        <w:tc>
          <w:tcPr>
            <w:tcW w:w="0" w:type="auto"/>
            <w:vAlign w:val="center"/>
          </w:tcPr>
          <w:p w:rsidR="003F50A9" w:rsidRDefault="003F50A9">
            <w:pPr>
              <w:spacing w:beforeAutospacing="1" w:afterAutospacing="1"/>
            </w:pPr>
            <w:r>
              <w:rPr>
                <w:color w:val="000000"/>
                <w:sz w:val="22"/>
              </w:rPr>
              <w:t>0</w:t>
            </w:r>
          </w:p>
        </w:tc>
        <w:tc>
          <w:tcPr>
            <w:tcW w:w="0" w:type="auto"/>
            <w:vAlign w:val="center"/>
          </w:tcPr>
          <w:p w:rsidR="003F50A9" w:rsidRDefault="003F50A9">
            <w:pPr>
              <w:spacing w:beforeAutospacing="1" w:afterAutospacing="1"/>
            </w:pPr>
            <w:r>
              <w:rPr>
                <w:color w:val="000000"/>
                <w:sz w:val="22"/>
              </w:rPr>
              <w:t>0</w:t>
            </w:r>
          </w:p>
        </w:tc>
        <w:tc>
          <w:tcPr>
            <w:tcW w:w="581" w:type="dxa"/>
            <w:vAlign w:val="center"/>
          </w:tcPr>
          <w:p w:rsidR="003F50A9" w:rsidRDefault="003F50A9">
            <w:pPr>
              <w:spacing w:beforeAutospacing="1" w:afterAutospacing="1"/>
            </w:pPr>
            <w:r>
              <w:rPr>
                <w:color w:val="000000"/>
                <w:sz w:val="22"/>
              </w:rPr>
              <w:t xml:space="preserve"> </w:t>
            </w:r>
            <w:r w:rsidR="007C5379">
              <w:rPr>
                <w:color w:val="000000"/>
                <w:sz w:val="22"/>
              </w:rPr>
              <w:t>0</w:t>
            </w:r>
          </w:p>
        </w:tc>
      </w:tr>
      <w:tr w:rsidR="00CA75A1" w:rsidTr="003A41DB">
        <w:trPr>
          <w:cantSplit/>
        </w:trPr>
        <w:tc>
          <w:tcPr>
            <w:tcW w:w="0" w:type="auto"/>
            <w:vMerge w:val="restart"/>
            <w:vAlign w:val="center"/>
          </w:tcPr>
          <w:p w:rsidR="00CA75A1" w:rsidRPr="007C5379" w:rsidRDefault="00CA75A1" w:rsidP="003F50A9">
            <w:pPr>
              <w:spacing w:beforeAutospacing="1" w:afterAutospacing="1"/>
              <w:rPr>
                <w:color w:val="FF0000"/>
              </w:rPr>
            </w:pPr>
            <w:bookmarkStart w:id="7" w:name="_Hlk114836482"/>
            <w:bookmarkStart w:id="8" w:name="_Hlk114836358"/>
            <w:r w:rsidRPr="007C5379">
              <w:rPr>
                <w:color w:val="FF0000"/>
                <w:sz w:val="22"/>
              </w:rPr>
              <w:t>Community Development/Public Services</w:t>
            </w:r>
            <w:r w:rsidR="0022499D">
              <w:rPr>
                <w:color w:val="FF0000"/>
                <w:sz w:val="22"/>
              </w:rPr>
              <w:t xml:space="preserve"> (CDBG CV)</w:t>
            </w:r>
          </w:p>
        </w:tc>
        <w:tc>
          <w:tcPr>
            <w:tcW w:w="0" w:type="auto"/>
            <w:vMerge w:val="restart"/>
            <w:vAlign w:val="center"/>
          </w:tcPr>
          <w:p w:rsidR="00CA75A1" w:rsidRPr="007C5379" w:rsidRDefault="00CA75A1" w:rsidP="003F50A9">
            <w:pPr>
              <w:spacing w:beforeAutospacing="1" w:afterAutospacing="1"/>
              <w:rPr>
                <w:color w:val="FF0000"/>
              </w:rPr>
            </w:pPr>
            <w:r w:rsidRPr="007C5379">
              <w:rPr>
                <w:color w:val="FF0000"/>
                <w:sz w:val="22"/>
              </w:rPr>
              <w:t>Non-Housing Community Development</w:t>
            </w:r>
          </w:p>
        </w:tc>
        <w:tc>
          <w:tcPr>
            <w:tcW w:w="0" w:type="auto"/>
            <w:vMerge w:val="restart"/>
            <w:vAlign w:val="center"/>
          </w:tcPr>
          <w:p w:rsidR="00CA75A1" w:rsidRPr="007C5379" w:rsidRDefault="00CA75A1" w:rsidP="003F50A9">
            <w:pPr>
              <w:spacing w:beforeAutospacing="1" w:afterAutospacing="1"/>
              <w:rPr>
                <w:color w:val="FF0000"/>
              </w:rPr>
            </w:pPr>
            <w:r w:rsidRPr="007C5379">
              <w:rPr>
                <w:color w:val="FF0000"/>
                <w:sz w:val="22"/>
              </w:rPr>
              <w:t xml:space="preserve">Source: CARES $574,713. </w:t>
            </w:r>
          </w:p>
          <w:p w:rsidR="00CA75A1" w:rsidRPr="007C5379" w:rsidRDefault="00CA75A1" w:rsidP="003F50A9">
            <w:pPr>
              <w:spacing w:beforeAutospacing="1" w:afterAutospacing="1"/>
              <w:rPr>
                <w:color w:val="FF0000"/>
              </w:rPr>
            </w:pPr>
            <w:r w:rsidRPr="007C5379">
              <w:rPr>
                <w:color w:val="FF0000"/>
                <w:sz w:val="22"/>
              </w:rPr>
              <w:t xml:space="preserve"> </w:t>
            </w:r>
          </w:p>
        </w:tc>
        <w:tc>
          <w:tcPr>
            <w:tcW w:w="0" w:type="auto"/>
            <w:vAlign w:val="center"/>
          </w:tcPr>
          <w:p w:rsidR="00CA75A1" w:rsidRPr="007C5379" w:rsidRDefault="00CA75A1" w:rsidP="003F50A9">
            <w:pPr>
              <w:spacing w:beforeAutospacing="1" w:afterAutospacing="1"/>
              <w:rPr>
                <w:color w:val="FF0000"/>
              </w:rPr>
            </w:pPr>
            <w:r w:rsidRPr="007C5379">
              <w:rPr>
                <w:color w:val="FF0000"/>
                <w:sz w:val="22"/>
              </w:rPr>
              <w:t>Public Facility or Infrastructure Activities other than Low/Moderate Income Housing Benefit</w:t>
            </w:r>
          </w:p>
        </w:tc>
        <w:tc>
          <w:tcPr>
            <w:tcW w:w="0" w:type="auto"/>
            <w:vAlign w:val="center"/>
          </w:tcPr>
          <w:p w:rsidR="00CA75A1" w:rsidRPr="007C5379" w:rsidRDefault="00CA75A1" w:rsidP="003F50A9">
            <w:pPr>
              <w:spacing w:beforeAutospacing="1" w:afterAutospacing="1"/>
              <w:rPr>
                <w:color w:val="FF0000"/>
              </w:rPr>
            </w:pPr>
            <w:r w:rsidRPr="007C5379">
              <w:rPr>
                <w:color w:val="FF0000"/>
                <w:sz w:val="22"/>
              </w:rPr>
              <w:t>Persons Assisted</w:t>
            </w:r>
          </w:p>
        </w:tc>
        <w:tc>
          <w:tcPr>
            <w:tcW w:w="0" w:type="auto"/>
            <w:vAlign w:val="center"/>
          </w:tcPr>
          <w:p w:rsidR="00CA75A1" w:rsidRPr="007C5379" w:rsidRDefault="00CA75A1" w:rsidP="003F50A9">
            <w:pPr>
              <w:spacing w:beforeAutospacing="1" w:afterAutospacing="1"/>
              <w:rPr>
                <w:color w:val="FF0000"/>
              </w:rPr>
            </w:pPr>
            <w:r w:rsidRPr="007C5379">
              <w:rPr>
                <w:color w:val="FF0000"/>
                <w:sz w:val="22"/>
              </w:rPr>
              <w:t>600</w:t>
            </w:r>
          </w:p>
        </w:tc>
        <w:tc>
          <w:tcPr>
            <w:tcW w:w="0" w:type="auto"/>
            <w:vAlign w:val="center"/>
          </w:tcPr>
          <w:p w:rsidR="00CA75A1" w:rsidRPr="007C5379" w:rsidRDefault="00CA75A1" w:rsidP="003F50A9">
            <w:pPr>
              <w:spacing w:beforeAutospacing="1" w:afterAutospacing="1"/>
              <w:rPr>
                <w:color w:val="FF0000"/>
              </w:rPr>
            </w:pPr>
            <w:r w:rsidRPr="007C5379">
              <w:rPr>
                <w:color w:val="FF0000"/>
                <w:sz w:val="22"/>
              </w:rPr>
              <w:t>2033</w:t>
            </w:r>
          </w:p>
        </w:tc>
        <w:tc>
          <w:tcPr>
            <w:tcW w:w="0" w:type="auto"/>
            <w:vAlign w:val="center"/>
          </w:tcPr>
          <w:p w:rsidR="00CA75A1" w:rsidRPr="007C5379" w:rsidRDefault="00CA75A1" w:rsidP="003F50A9">
            <w:pPr>
              <w:spacing w:beforeAutospacing="1" w:afterAutospacing="1"/>
              <w:rPr>
                <w:color w:val="FF0000"/>
              </w:rPr>
            </w:pPr>
            <w:r w:rsidRPr="007C5379">
              <w:rPr>
                <w:color w:val="FF0000"/>
                <w:sz w:val="22"/>
              </w:rPr>
              <w:t xml:space="preserve"> 338.83%</w:t>
            </w:r>
          </w:p>
        </w:tc>
        <w:tc>
          <w:tcPr>
            <w:tcW w:w="0" w:type="auto"/>
            <w:vAlign w:val="center"/>
          </w:tcPr>
          <w:p w:rsidR="00CA75A1" w:rsidRPr="007C5379" w:rsidRDefault="00CA75A1" w:rsidP="003F50A9">
            <w:pPr>
              <w:spacing w:beforeAutospacing="1" w:afterAutospacing="1"/>
              <w:rPr>
                <w:color w:val="FF0000"/>
              </w:rPr>
            </w:pPr>
            <w:r w:rsidRPr="007C5379">
              <w:rPr>
                <w:color w:val="FF0000"/>
                <w:sz w:val="22"/>
              </w:rPr>
              <w:t xml:space="preserve"> </w:t>
            </w:r>
          </w:p>
        </w:tc>
        <w:tc>
          <w:tcPr>
            <w:tcW w:w="0" w:type="auto"/>
            <w:vAlign w:val="center"/>
          </w:tcPr>
          <w:p w:rsidR="00CA75A1" w:rsidRPr="007C5379" w:rsidRDefault="00CA75A1" w:rsidP="003F50A9">
            <w:pPr>
              <w:spacing w:beforeAutospacing="1" w:afterAutospacing="1"/>
              <w:rPr>
                <w:color w:val="FF0000"/>
              </w:rPr>
            </w:pPr>
            <w:r w:rsidRPr="007C5379">
              <w:rPr>
                <w:color w:val="FF0000"/>
                <w:sz w:val="22"/>
              </w:rPr>
              <w:t xml:space="preserve"> </w:t>
            </w:r>
          </w:p>
        </w:tc>
        <w:tc>
          <w:tcPr>
            <w:tcW w:w="581" w:type="dxa"/>
            <w:vAlign w:val="center"/>
          </w:tcPr>
          <w:p w:rsidR="00CA75A1" w:rsidRPr="007C5379" w:rsidRDefault="00CA75A1" w:rsidP="003F50A9">
            <w:pPr>
              <w:spacing w:beforeAutospacing="1" w:afterAutospacing="1"/>
              <w:rPr>
                <w:color w:val="FF0000"/>
              </w:rPr>
            </w:pPr>
            <w:r w:rsidRPr="007C5379">
              <w:rPr>
                <w:color w:val="FF0000"/>
                <w:sz w:val="22"/>
              </w:rPr>
              <w:t xml:space="preserve"> </w:t>
            </w:r>
          </w:p>
        </w:tc>
      </w:tr>
      <w:tr w:rsidR="00CA75A1" w:rsidTr="003A41DB">
        <w:trPr>
          <w:cantSplit/>
        </w:trPr>
        <w:tc>
          <w:tcPr>
            <w:tcW w:w="0" w:type="auto"/>
            <w:vMerge/>
            <w:vAlign w:val="center"/>
          </w:tcPr>
          <w:p w:rsidR="00CA75A1" w:rsidRDefault="00CA75A1">
            <w:pPr>
              <w:spacing w:beforeAutospacing="1" w:afterAutospacing="1"/>
            </w:pPr>
            <w:bookmarkStart w:id="9" w:name="_Hlk114836581"/>
            <w:bookmarkEnd w:id="7"/>
          </w:p>
        </w:tc>
        <w:tc>
          <w:tcPr>
            <w:tcW w:w="0" w:type="auto"/>
            <w:vMerge/>
            <w:vAlign w:val="center"/>
          </w:tcPr>
          <w:p w:rsidR="00CA75A1" w:rsidRDefault="00CA75A1">
            <w:pPr>
              <w:spacing w:beforeAutospacing="1" w:afterAutospacing="1"/>
            </w:pPr>
          </w:p>
        </w:tc>
        <w:tc>
          <w:tcPr>
            <w:tcW w:w="0" w:type="auto"/>
            <w:vMerge/>
            <w:vAlign w:val="center"/>
          </w:tcPr>
          <w:p w:rsidR="00CA75A1" w:rsidRDefault="00CA75A1" w:rsidP="003F50A9">
            <w:pPr>
              <w:spacing w:beforeAutospacing="1" w:afterAutospacing="1"/>
            </w:pPr>
          </w:p>
        </w:tc>
        <w:tc>
          <w:tcPr>
            <w:tcW w:w="0" w:type="auto"/>
            <w:vAlign w:val="center"/>
          </w:tcPr>
          <w:p w:rsidR="00CA75A1" w:rsidRPr="00000551" w:rsidRDefault="00CA75A1">
            <w:pPr>
              <w:spacing w:beforeAutospacing="1" w:afterAutospacing="1"/>
              <w:rPr>
                <w:color w:val="FF0000"/>
              </w:rPr>
            </w:pPr>
            <w:r w:rsidRPr="00000551">
              <w:rPr>
                <w:color w:val="FF0000"/>
                <w:sz w:val="22"/>
              </w:rPr>
              <w:t>Homeless Person Overnight Shelter</w:t>
            </w:r>
          </w:p>
        </w:tc>
        <w:tc>
          <w:tcPr>
            <w:tcW w:w="0" w:type="auto"/>
            <w:vAlign w:val="center"/>
          </w:tcPr>
          <w:p w:rsidR="00CA75A1" w:rsidRPr="00000551" w:rsidRDefault="00CA75A1">
            <w:pPr>
              <w:spacing w:beforeAutospacing="1" w:afterAutospacing="1"/>
              <w:rPr>
                <w:color w:val="FF0000"/>
              </w:rPr>
            </w:pPr>
            <w:r w:rsidRPr="00000551">
              <w:rPr>
                <w:color w:val="FF0000"/>
                <w:sz w:val="22"/>
              </w:rPr>
              <w:t>Persons Assisted</w:t>
            </w:r>
          </w:p>
        </w:tc>
        <w:tc>
          <w:tcPr>
            <w:tcW w:w="0" w:type="auto"/>
            <w:vAlign w:val="center"/>
          </w:tcPr>
          <w:p w:rsidR="00CA75A1" w:rsidRPr="00000551" w:rsidRDefault="00CA75A1">
            <w:pPr>
              <w:spacing w:beforeAutospacing="1" w:afterAutospacing="1"/>
              <w:rPr>
                <w:color w:val="FF0000"/>
              </w:rPr>
            </w:pPr>
            <w:r w:rsidRPr="00000551">
              <w:rPr>
                <w:color w:val="FF0000"/>
              </w:rPr>
              <w:t>0</w:t>
            </w:r>
          </w:p>
        </w:tc>
        <w:tc>
          <w:tcPr>
            <w:tcW w:w="0" w:type="auto"/>
            <w:vAlign w:val="center"/>
          </w:tcPr>
          <w:p w:rsidR="00CA75A1" w:rsidRPr="00000551" w:rsidRDefault="00CA75A1">
            <w:pPr>
              <w:spacing w:beforeAutospacing="1" w:afterAutospacing="1"/>
              <w:rPr>
                <w:color w:val="FF0000"/>
              </w:rPr>
            </w:pPr>
            <w:r w:rsidRPr="00000551">
              <w:rPr>
                <w:color w:val="FF0000"/>
              </w:rPr>
              <w:t>0</w:t>
            </w:r>
          </w:p>
        </w:tc>
        <w:tc>
          <w:tcPr>
            <w:tcW w:w="0" w:type="auto"/>
            <w:vAlign w:val="center"/>
          </w:tcPr>
          <w:p w:rsidR="00CA75A1" w:rsidRPr="00000551" w:rsidRDefault="00CA75A1">
            <w:pPr>
              <w:spacing w:beforeAutospacing="1" w:afterAutospacing="1"/>
              <w:rPr>
                <w:color w:val="FF0000"/>
              </w:rPr>
            </w:pPr>
            <w:r w:rsidRPr="00000551">
              <w:rPr>
                <w:color w:val="FF0000"/>
              </w:rPr>
              <w:t>0%</w:t>
            </w:r>
          </w:p>
        </w:tc>
        <w:tc>
          <w:tcPr>
            <w:tcW w:w="0" w:type="auto"/>
            <w:vAlign w:val="center"/>
          </w:tcPr>
          <w:p w:rsidR="00CA75A1" w:rsidRPr="00000551" w:rsidRDefault="00CA75A1">
            <w:pPr>
              <w:spacing w:beforeAutospacing="1" w:afterAutospacing="1"/>
              <w:rPr>
                <w:color w:val="FF0000"/>
              </w:rPr>
            </w:pPr>
            <w:r w:rsidRPr="00000551">
              <w:rPr>
                <w:color w:val="FF0000"/>
                <w:sz w:val="22"/>
              </w:rPr>
              <w:t xml:space="preserve"> </w:t>
            </w:r>
            <w:r w:rsidR="007C5379" w:rsidRPr="00000551">
              <w:rPr>
                <w:color w:val="FF0000"/>
                <w:sz w:val="22"/>
              </w:rPr>
              <w:t>0</w:t>
            </w:r>
          </w:p>
        </w:tc>
        <w:tc>
          <w:tcPr>
            <w:tcW w:w="0" w:type="auto"/>
            <w:vAlign w:val="center"/>
          </w:tcPr>
          <w:p w:rsidR="00CA75A1" w:rsidRPr="00000551" w:rsidRDefault="00CA75A1">
            <w:pPr>
              <w:spacing w:beforeAutospacing="1" w:afterAutospacing="1"/>
              <w:rPr>
                <w:color w:val="FF0000"/>
              </w:rPr>
            </w:pPr>
            <w:r w:rsidRPr="00000551">
              <w:rPr>
                <w:color w:val="FF0000"/>
                <w:sz w:val="22"/>
              </w:rPr>
              <w:t xml:space="preserve"> </w:t>
            </w:r>
            <w:r w:rsidR="007C5379" w:rsidRPr="00000551">
              <w:rPr>
                <w:color w:val="FF0000"/>
                <w:sz w:val="22"/>
              </w:rPr>
              <w:t>0</w:t>
            </w:r>
          </w:p>
        </w:tc>
        <w:tc>
          <w:tcPr>
            <w:tcW w:w="581" w:type="dxa"/>
            <w:vAlign w:val="center"/>
          </w:tcPr>
          <w:p w:rsidR="00CA75A1" w:rsidRPr="00000551" w:rsidRDefault="00CA75A1">
            <w:pPr>
              <w:spacing w:beforeAutospacing="1" w:afterAutospacing="1"/>
              <w:rPr>
                <w:color w:val="FF0000"/>
              </w:rPr>
            </w:pPr>
            <w:r w:rsidRPr="00000551">
              <w:rPr>
                <w:color w:val="FF0000"/>
                <w:sz w:val="22"/>
              </w:rPr>
              <w:t xml:space="preserve"> </w:t>
            </w:r>
            <w:r w:rsidR="007C5379" w:rsidRPr="00000551">
              <w:rPr>
                <w:color w:val="FF0000"/>
                <w:sz w:val="22"/>
              </w:rPr>
              <w:t>0</w:t>
            </w:r>
          </w:p>
        </w:tc>
      </w:tr>
      <w:bookmarkEnd w:id="8"/>
      <w:bookmarkEnd w:id="9"/>
      <w:tr w:rsidR="00CA75A1" w:rsidTr="003A41DB">
        <w:trPr>
          <w:cantSplit/>
        </w:trPr>
        <w:tc>
          <w:tcPr>
            <w:tcW w:w="0" w:type="auto"/>
            <w:vMerge/>
            <w:vAlign w:val="center"/>
          </w:tcPr>
          <w:p w:rsidR="00CA75A1" w:rsidRDefault="00CA75A1" w:rsidP="003F50A9">
            <w:pPr>
              <w:spacing w:beforeAutospacing="1" w:afterAutospacing="1"/>
            </w:pPr>
          </w:p>
        </w:tc>
        <w:tc>
          <w:tcPr>
            <w:tcW w:w="0" w:type="auto"/>
            <w:vMerge/>
            <w:vAlign w:val="center"/>
          </w:tcPr>
          <w:p w:rsidR="00CA75A1" w:rsidRDefault="00CA75A1" w:rsidP="003F50A9">
            <w:pPr>
              <w:spacing w:beforeAutospacing="1" w:afterAutospacing="1"/>
            </w:pPr>
          </w:p>
        </w:tc>
        <w:tc>
          <w:tcPr>
            <w:tcW w:w="0" w:type="auto"/>
            <w:vMerge/>
            <w:vAlign w:val="center"/>
          </w:tcPr>
          <w:p w:rsidR="00CA75A1" w:rsidRDefault="00CA75A1" w:rsidP="003F50A9">
            <w:pPr>
              <w:spacing w:beforeAutospacing="1" w:afterAutospacing="1"/>
            </w:pPr>
          </w:p>
        </w:tc>
        <w:tc>
          <w:tcPr>
            <w:tcW w:w="0" w:type="auto"/>
            <w:vAlign w:val="center"/>
          </w:tcPr>
          <w:p w:rsidR="00CA75A1" w:rsidRPr="00000551" w:rsidRDefault="00CA75A1" w:rsidP="003F50A9">
            <w:pPr>
              <w:spacing w:beforeAutospacing="1" w:afterAutospacing="1"/>
              <w:rPr>
                <w:color w:val="FF0000"/>
              </w:rPr>
            </w:pPr>
            <w:r w:rsidRPr="00000551">
              <w:rPr>
                <w:color w:val="FF0000"/>
                <w:sz w:val="22"/>
              </w:rPr>
              <w:t>Homelessness Prevention</w:t>
            </w:r>
          </w:p>
        </w:tc>
        <w:tc>
          <w:tcPr>
            <w:tcW w:w="0" w:type="auto"/>
            <w:vAlign w:val="center"/>
          </w:tcPr>
          <w:p w:rsidR="00CA75A1" w:rsidRPr="00000551" w:rsidRDefault="00CA75A1" w:rsidP="003F50A9">
            <w:pPr>
              <w:spacing w:beforeAutospacing="1" w:afterAutospacing="1"/>
              <w:rPr>
                <w:color w:val="FF0000"/>
              </w:rPr>
            </w:pPr>
            <w:r w:rsidRPr="00000551">
              <w:rPr>
                <w:color w:val="FF0000"/>
                <w:sz w:val="22"/>
              </w:rPr>
              <w:t>Persons Assisted</w:t>
            </w:r>
          </w:p>
        </w:tc>
        <w:tc>
          <w:tcPr>
            <w:tcW w:w="0" w:type="auto"/>
            <w:vAlign w:val="center"/>
          </w:tcPr>
          <w:p w:rsidR="00CA75A1" w:rsidRPr="00000551" w:rsidRDefault="00CA75A1" w:rsidP="003F50A9">
            <w:pPr>
              <w:spacing w:beforeAutospacing="1" w:afterAutospacing="1"/>
              <w:rPr>
                <w:color w:val="FF0000"/>
              </w:rPr>
            </w:pPr>
            <w:r w:rsidRPr="00000551">
              <w:rPr>
                <w:color w:val="FF0000"/>
                <w:sz w:val="22"/>
              </w:rPr>
              <w:t>0</w:t>
            </w:r>
          </w:p>
        </w:tc>
        <w:tc>
          <w:tcPr>
            <w:tcW w:w="0" w:type="auto"/>
            <w:vAlign w:val="center"/>
          </w:tcPr>
          <w:p w:rsidR="00CA75A1" w:rsidRPr="00000551" w:rsidRDefault="00CA75A1" w:rsidP="003F50A9">
            <w:pPr>
              <w:spacing w:beforeAutospacing="1" w:afterAutospacing="1"/>
              <w:rPr>
                <w:color w:val="FF0000"/>
              </w:rPr>
            </w:pPr>
            <w:r w:rsidRPr="00000551">
              <w:rPr>
                <w:color w:val="FF0000"/>
                <w:sz w:val="22"/>
              </w:rPr>
              <w:t>717</w:t>
            </w:r>
          </w:p>
        </w:tc>
        <w:tc>
          <w:tcPr>
            <w:tcW w:w="0" w:type="auto"/>
            <w:vAlign w:val="center"/>
          </w:tcPr>
          <w:p w:rsidR="00CA75A1" w:rsidRPr="00000551" w:rsidRDefault="00CA75A1" w:rsidP="003F50A9">
            <w:pPr>
              <w:spacing w:beforeAutospacing="1" w:afterAutospacing="1"/>
              <w:rPr>
                <w:color w:val="FF0000"/>
              </w:rPr>
            </w:pPr>
            <w:r w:rsidRPr="00000551">
              <w:rPr>
                <w:color w:val="FF0000"/>
                <w:sz w:val="22"/>
              </w:rPr>
              <w:t xml:space="preserve"> </w:t>
            </w:r>
            <w:r w:rsidR="007C5379" w:rsidRPr="00000551">
              <w:rPr>
                <w:color w:val="FF0000"/>
                <w:sz w:val="22"/>
              </w:rPr>
              <w:t>717%</w:t>
            </w:r>
          </w:p>
        </w:tc>
        <w:tc>
          <w:tcPr>
            <w:tcW w:w="0" w:type="auto"/>
            <w:vAlign w:val="center"/>
          </w:tcPr>
          <w:p w:rsidR="00CA75A1" w:rsidRPr="00000551" w:rsidRDefault="00CA75A1" w:rsidP="003F50A9">
            <w:pPr>
              <w:spacing w:beforeAutospacing="1" w:afterAutospacing="1"/>
              <w:rPr>
                <w:color w:val="FF0000"/>
              </w:rPr>
            </w:pPr>
            <w:r w:rsidRPr="00000551">
              <w:rPr>
                <w:color w:val="FF0000"/>
                <w:sz w:val="22"/>
              </w:rPr>
              <w:t xml:space="preserve"> </w:t>
            </w:r>
            <w:r w:rsidR="007C5379" w:rsidRPr="00000551">
              <w:rPr>
                <w:color w:val="FF0000"/>
                <w:sz w:val="22"/>
              </w:rPr>
              <w:t>0</w:t>
            </w:r>
          </w:p>
        </w:tc>
        <w:tc>
          <w:tcPr>
            <w:tcW w:w="0" w:type="auto"/>
            <w:vAlign w:val="center"/>
          </w:tcPr>
          <w:p w:rsidR="00CA75A1" w:rsidRPr="00000551" w:rsidRDefault="00CA75A1" w:rsidP="003F50A9">
            <w:pPr>
              <w:spacing w:beforeAutospacing="1" w:afterAutospacing="1"/>
              <w:rPr>
                <w:color w:val="FF0000"/>
              </w:rPr>
            </w:pPr>
            <w:r w:rsidRPr="00000551">
              <w:rPr>
                <w:color w:val="FF0000"/>
                <w:sz w:val="22"/>
              </w:rPr>
              <w:t xml:space="preserve"> </w:t>
            </w:r>
            <w:r w:rsidR="007C5379" w:rsidRPr="00000551">
              <w:rPr>
                <w:color w:val="FF0000"/>
                <w:sz w:val="22"/>
              </w:rPr>
              <w:t>0</w:t>
            </w:r>
          </w:p>
        </w:tc>
        <w:tc>
          <w:tcPr>
            <w:tcW w:w="581" w:type="dxa"/>
            <w:vAlign w:val="center"/>
          </w:tcPr>
          <w:p w:rsidR="00CA75A1" w:rsidRPr="00000551" w:rsidRDefault="00CA75A1" w:rsidP="003F50A9">
            <w:pPr>
              <w:spacing w:beforeAutospacing="1" w:afterAutospacing="1"/>
              <w:rPr>
                <w:color w:val="FF0000"/>
              </w:rPr>
            </w:pPr>
            <w:r w:rsidRPr="00000551">
              <w:rPr>
                <w:color w:val="FF0000"/>
                <w:sz w:val="22"/>
              </w:rPr>
              <w:t xml:space="preserve"> </w:t>
            </w:r>
            <w:r w:rsidR="007C5379" w:rsidRPr="00000551">
              <w:rPr>
                <w:color w:val="FF0000"/>
                <w:sz w:val="22"/>
              </w:rPr>
              <w:t>0</w:t>
            </w:r>
          </w:p>
        </w:tc>
      </w:tr>
      <w:tr w:rsidR="00CA75A1" w:rsidTr="003A41DB">
        <w:trPr>
          <w:cantSplit/>
        </w:trPr>
        <w:tc>
          <w:tcPr>
            <w:tcW w:w="0" w:type="auto"/>
            <w:vAlign w:val="center"/>
          </w:tcPr>
          <w:p w:rsidR="00CA75A1" w:rsidRDefault="00CA75A1">
            <w:pPr>
              <w:spacing w:beforeAutospacing="1" w:afterAutospacing="1"/>
              <w:rPr>
                <w:color w:val="000000"/>
              </w:rPr>
            </w:pPr>
            <w:r>
              <w:rPr>
                <w:color w:val="000000"/>
                <w:sz w:val="22"/>
              </w:rPr>
              <w:t>Economic Development</w:t>
            </w:r>
          </w:p>
        </w:tc>
        <w:tc>
          <w:tcPr>
            <w:tcW w:w="0" w:type="auto"/>
            <w:vAlign w:val="center"/>
          </w:tcPr>
          <w:p w:rsidR="00CA75A1" w:rsidRDefault="00CA75A1">
            <w:pPr>
              <w:spacing w:beforeAutospacing="1" w:afterAutospacing="1"/>
              <w:rPr>
                <w:color w:val="000000"/>
              </w:rPr>
            </w:pPr>
            <w:r>
              <w:rPr>
                <w:color w:val="000000"/>
                <w:sz w:val="22"/>
              </w:rPr>
              <w:t>Non-Housing Community Development</w:t>
            </w:r>
          </w:p>
        </w:tc>
        <w:tc>
          <w:tcPr>
            <w:tcW w:w="0" w:type="auto"/>
            <w:vAlign w:val="center"/>
          </w:tcPr>
          <w:p w:rsidR="00CA75A1" w:rsidRDefault="00CA75A1">
            <w:pPr>
              <w:spacing w:beforeAutospacing="1" w:afterAutospacing="1"/>
              <w:rPr>
                <w:color w:val="000000"/>
              </w:rPr>
            </w:pPr>
            <w:r>
              <w:rPr>
                <w:color w:val="000000"/>
                <w:sz w:val="22"/>
              </w:rPr>
              <w:t>CDBG: $1</w:t>
            </w:r>
            <w:r w:rsidR="00661836">
              <w:rPr>
                <w:color w:val="000000"/>
                <w:sz w:val="22"/>
              </w:rPr>
              <w:t>8,750</w:t>
            </w:r>
          </w:p>
        </w:tc>
        <w:tc>
          <w:tcPr>
            <w:tcW w:w="0" w:type="auto"/>
            <w:vAlign w:val="center"/>
          </w:tcPr>
          <w:p w:rsidR="00CA75A1" w:rsidRDefault="00CA75A1">
            <w:pPr>
              <w:spacing w:beforeAutospacing="1" w:afterAutospacing="1"/>
              <w:rPr>
                <w:color w:val="000000"/>
              </w:rPr>
            </w:pPr>
            <w:r>
              <w:rPr>
                <w:color w:val="000000"/>
                <w:sz w:val="22"/>
              </w:rPr>
              <w:t>Jobs created/retained</w:t>
            </w:r>
          </w:p>
        </w:tc>
        <w:tc>
          <w:tcPr>
            <w:tcW w:w="0" w:type="auto"/>
            <w:vAlign w:val="center"/>
          </w:tcPr>
          <w:p w:rsidR="00CA75A1" w:rsidRDefault="00CA75A1">
            <w:pPr>
              <w:spacing w:beforeAutospacing="1" w:afterAutospacing="1"/>
              <w:rPr>
                <w:color w:val="000000"/>
              </w:rPr>
            </w:pPr>
            <w:r>
              <w:rPr>
                <w:color w:val="000000"/>
                <w:sz w:val="22"/>
              </w:rPr>
              <w:t>Jobs</w:t>
            </w:r>
          </w:p>
        </w:tc>
        <w:tc>
          <w:tcPr>
            <w:tcW w:w="0" w:type="auto"/>
            <w:vAlign w:val="center"/>
          </w:tcPr>
          <w:p w:rsidR="00CA75A1" w:rsidRDefault="00CA75A1">
            <w:pPr>
              <w:spacing w:beforeAutospacing="1" w:afterAutospacing="1"/>
              <w:rPr>
                <w:color w:val="000000"/>
              </w:rPr>
            </w:pPr>
            <w:r>
              <w:rPr>
                <w:color w:val="000000"/>
                <w:sz w:val="22"/>
              </w:rPr>
              <w:t>20</w:t>
            </w:r>
          </w:p>
        </w:tc>
        <w:tc>
          <w:tcPr>
            <w:tcW w:w="0" w:type="auto"/>
            <w:vAlign w:val="center"/>
          </w:tcPr>
          <w:p w:rsidR="00CA75A1" w:rsidRDefault="00661836">
            <w:pPr>
              <w:spacing w:beforeAutospacing="1" w:afterAutospacing="1"/>
              <w:rPr>
                <w:color w:val="000000"/>
              </w:rPr>
            </w:pPr>
            <w:r w:rsidRPr="00661836">
              <w:rPr>
                <w:color w:val="000000"/>
                <w:sz w:val="22"/>
                <w:highlight w:val="cyan"/>
              </w:rPr>
              <w:t>22</w:t>
            </w:r>
          </w:p>
        </w:tc>
        <w:tc>
          <w:tcPr>
            <w:tcW w:w="0" w:type="auto"/>
            <w:vAlign w:val="center"/>
          </w:tcPr>
          <w:p w:rsidR="00CA75A1" w:rsidRDefault="00CA75A1">
            <w:pPr>
              <w:spacing w:beforeAutospacing="1" w:afterAutospacing="1"/>
              <w:rPr>
                <w:color w:val="000000"/>
              </w:rPr>
            </w:pPr>
            <w:r>
              <w:rPr>
                <w:color w:val="000000"/>
                <w:sz w:val="22"/>
              </w:rPr>
              <w:t xml:space="preserve">       </w:t>
            </w:r>
            <w:r w:rsidR="00000551">
              <w:rPr>
                <w:color w:val="000000"/>
                <w:sz w:val="22"/>
              </w:rPr>
              <w:t>1</w:t>
            </w:r>
            <w:r w:rsidR="00105CFF">
              <w:rPr>
                <w:color w:val="000000"/>
                <w:sz w:val="22"/>
              </w:rPr>
              <w:t>1</w:t>
            </w:r>
            <w:r w:rsidR="00000551">
              <w:rPr>
                <w:color w:val="000000"/>
                <w:sz w:val="22"/>
              </w:rPr>
              <w:t>0.</w:t>
            </w:r>
            <w:r>
              <w:rPr>
                <w:color w:val="000000"/>
                <w:sz w:val="22"/>
              </w:rPr>
              <w:t>00%</w:t>
            </w:r>
          </w:p>
        </w:tc>
        <w:tc>
          <w:tcPr>
            <w:tcW w:w="0" w:type="auto"/>
            <w:vAlign w:val="center"/>
          </w:tcPr>
          <w:p w:rsidR="00CA75A1" w:rsidRDefault="00661836">
            <w:pPr>
              <w:spacing w:beforeAutospacing="1" w:afterAutospacing="1"/>
              <w:rPr>
                <w:color w:val="000000"/>
              </w:rPr>
            </w:pPr>
            <w:r>
              <w:rPr>
                <w:color w:val="000000"/>
                <w:sz w:val="22"/>
              </w:rPr>
              <w:t>3</w:t>
            </w:r>
          </w:p>
        </w:tc>
        <w:tc>
          <w:tcPr>
            <w:tcW w:w="0" w:type="auto"/>
            <w:vAlign w:val="center"/>
          </w:tcPr>
          <w:p w:rsidR="00CA75A1" w:rsidRDefault="00105CFF">
            <w:pPr>
              <w:spacing w:beforeAutospacing="1" w:afterAutospacing="1"/>
              <w:rPr>
                <w:color w:val="000000"/>
              </w:rPr>
            </w:pPr>
            <w:r w:rsidRPr="00105CFF">
              <w:rPr>
                <w:color w:val="000000"/>
                <w:highlight w:val="cyan"/>
              </w:rPr>
              <w:t>5</w:t>
            </w:r>
          </w:p>
        </w:tc>
        <w:tc>
          <w:tcPr>
            <w:tcW w:w="581" w:type="dxa"/>
            <w:vAlign w:val="center"/>
          </w:tcPr>
          <w:p w:rsidR="00CA75A1" w:rsidRDefault="00CA75A1">
            <w:pPr>
              <w:spacing w:beforeAutospacing="1" w:afterAutospacing="1"/>
              <w:rPr>
                <w:color w:val="000000"/>
              </w:rPr>
            </w:pPr>
            <w:r>
              <w:rPr>
                <w:color w:val="000000"/>
                <w:sz w:val="22"/>
              </w:rPr>
              <w:t xml:space="preserve">         </w:t>
            </w:r>
            <w:r w:rsidRPr="00105CFF">
              <w:rPr>
                <w:color w:val="000000"/>
                <w:sz w:val="22"/>
              </w:rPr>
              <w:t>1</w:t>
            </w:r>
            <w:r w:rsidR="00105CFF">
              <w:rPr>
                <w:color w:val="000000"/>
                <w:sz w:val="22"/>
              </w:rPr>
              <w:t>66</w:t>
            </w:r>
            <w:r w:rsidRPr="00105CFF">
              <w:rPr>
                <w:color w:val="000000"/>
                <w:sz w:val="22"/>
              </w:rPr>
              <w:t>.00%</w:t>
            </w:r>
          </w:p>
        </w:tc>
      </w:tr>
      <w:tr w:rsidR="00537EEE" w:rsidTr="003A41DB">
        <w:trPr>
          <w:cantSplit/>
        </w:trPr>
        <w:tc>
          <w:tcPr>
            <w:tcW w:w="0" w:type="auto"/>
            <w:vMerge w:val="restart"/>
            <w:vAlign w:val="center"/>
          </w:tcPr>
          <w:p w:rsidR="00537EEE" w:rsidRDefault="00537EEE" w:rsidP="003F50A9">
            <w:pPr>
              <w:spacing w:beforeAutospacing="1" w:afterAutospacing="1"/>
            </w:pPr>
            <w:bookmarkStart w:id="10" w:name="_Hlk114838129"/>
            <w:r>
              <w:rPr>
                <w:color w:val="000000"/>
                <w:sz w:val="22"/>
              </w:rPr>
              <w:t>Community Development/Public Services</w:t>
            </w:r>
          </w:p>
        </w:tc>
        <w:tc>
          <w:tcPr>
            <w:tcW w:w="0" w:type="auto"/>
            <w:vMerge w:val="restart"/>
            <w:vAlign w:val="center"/>
          </w:tcPr>
          <w:p w:rsidR="00537EEE" w:rsidRDefault="00537EEE" w:rsidP="003F50A9">
            <w:pPr>
              <w:spacing w:beforeAutospacing="1" w:afterAutospacing="1"/>
            </w:pPr>
            <w:r>
              <w:rPr>
                <w:color w:val="000000"/>
                <w:sz w:val="22"/>
              </w:rPr>
              <w:t>Non-Housing Community Development</w:t>
            </w:r>
          </w:p>
        </w:tc>
        <w:tc>
          <w:tcPr>
            <w:tcW w:w="0" w:type="auto"/>
            <w:vMerge w:val="restart"/>
            <w:vAlign w:val="center"/>
          </w:tcPr>
          <w:p w:rsidR="00537EEE" w:rsidRDefault="00537EEE" w:rsidP="003F50A9">
            <w:pPr>
              <w:spacing w:beforeAutospacing="1" w:afterAutospacing="1"/>
            </w:pPr>
            <w:r>
              <w:rPr>
                <w:color w:val="000000"/>
                <w:sz w:val="22"/>
              </w:rPr>
              <w:t>CDBG: $</w:t>
            </w:r>
            <w:r w:rsidR="00661836">
              <w:rPr>
                <w:color w:val="000000"/>
                <w:sz w:val="22"/>
              </w:rPr>
              <w:t>68,000</w:t>
            </w:r>
          </w:p>
        </w:tc>
        <w:tc>
          <w:tcPr>
            <w:tcW w:w="0" w:type="auto"/>
            <w:vAlign w:val="center"/>
          </w:tcPr>
          <w:p w:rsidR="00537EEE" w:rsidRDefault="00537EEE" w:rsidP="003F50A9">
            <w:pPr>
              <w:spacing w:beforeAutospacing="1" w:afterAutospacing="1"/>
            </w:pPr>
            <w:r>
              <w:rPr>
                <w:color w:val="000000"/>
                <w:sz w:val="22"/>
              </w:rPr>
              <w:t>Public Facility or Infrastructure Activities other than Low/Moderate Income Housing Benefit</w:t>
            </w:r>
          </w:p>
        </w:tc>
        <w:tc>
          <w:tcPr>
            <w:tcW w:w="0" w:type="auto"/>
            <w:vAlign w:val="center"/>
          </w:tcPr>
          <w:p w:rsidR="00537EEE" w:rsidRDefault="00537EEE" w:rsidP="003F50A9">
            <w:pPr>
              <w:spacing w:beforeAutospacing="1" w:afterAutospacing="1"/>
            </w:pPr>
            <w:r>
              <w:rPr>
                <w:color w:val="000000"/>
                <w:sz w:val="22"/>
              </w:rPr>
              <w:t>Persons Assisted</w:t>
            </w:r>
          </w:p>
        </w:tc>
        <w:tc>
          <w:tcPr>
            <w:tcW w:w="0" w:type="auto"/>
            <w:vAlign w:val="center"/>
          </w:tcPr>
          <w:p w:rsidR="00537EEE" w:rsidRDefault="007C5379" w:rsidP="003F50A9">
            <w:pPr>
              <w:spacing w:beforeAutospacing="1" w:afterAutospacing="1"/>
            </w:pPr>
            <w:r>
              <w:rPr>
                <w:color w:val="000000"/>
                <w:sz w:val="22"/>
              </w:rPr>
              <w:t>0</w:t>
            </w:r>
          </w:p>
        </w:tc>
        <w:tc>
          <w:tcPr>
            <w:tcW w:w="0" w:type="auto"/>
            <w:vAlign w:val="center"/>
          </w:tcPr>
          <w:p w:rsidR="00537EEE" w:rsidRDefault="007C5379" w:rsidP="003F50A9">
            <w:pPr>
              <w:spacing w:beforeAutospacing="1" w:afterAutospacing="1"/>
            </w:pPr>
            <w:r>
              <w:rPr>
                <w:color w:val="000000"/>
                <w:sz w:val="22"/>
              </w:rPr>
              <w:t>0</w:t>
            </w:r>
          </w:p>
        </w:tc>
        <w:tc>
          <w:tcPr>
            <w:tcW w:w="0" w:type="auto"/>
            <w:vAlign w:val="center"/>
          </w:tcPr>
          <w:p w:rsidR="00537EEE" w:rsidRDefault="007C5379" w:rsidP="003F50A9">
            <w:pPr>
              <w:spacing w:beforeAutospacing="1" w:afterAutospacing="1"/>
            </w:pPr>
            <w:r>
              <w:rPr>
                <w:color w:val="000000"/>
                <w:sz w:val="22"/>
              </w:rPr>
              <w:t>0</w:t>
            </w:r>
          </w:p>
        </w:tc>
        <w:tc>
          <w:tcPr>
            <w:tcW w:w="0" w:type="auto"/>
            <w:vAlign w:val="center"/>
          </w:tcPr>
          <w:p w:rsidR="00537EEE" w:rsidRDefault="007C5379" w:rsidP="003F50A9">
            <w:pPr>
              <w:spacing w:beforeAutospacing="1" w:afterAutospacing="1"/>
            </w:pPr>
            <w:r>
              <w:rPr>
                <w:color w:val="000000"/>
                <w:sz w:val="22"/>
              </w:rPr>
              <w:t>0</w:t>
            </w:r>
          </w:p>
        </w:tc>
        <w:tc>
          <w:tcPr>
            <w:tcW w:w="0" w:type="auto"/>
            <w:vAlign w:val="center"/>
          </w:tcPr>
          <w:p w:rsidR="00537EEE" w:rsidRDefault="007C5379" w:rsidP="003F50A9">
            <w:pPr>
              <w:spacing w:beforeAutospacing="1" w:afterAutospacing="1"/>
            </w:pPr>
            <w:r>
              <w:rPr>
                <w:color w:val="000000"/>
                <w:sz w:val="22"/>
              </w:rPr>
              <w:t>0</w:t>
            </w:r>
          </w:p>
        </w:tc>
        <w:tc>
          <w:tcPr>
            <w:tcW w:w="581" w:type="dxa"/>
            <w:vAlign w:val="center"/>
          </w:tcPr>
          <w:p w:rsidR="00537EEE" w:rsidRDefault="00537EEE" w:rsidP="003F50A9">
            <w:pPr>
              <w:spacing w:beforeAutospacing="1" w:afterAutospacing="1"/>
            </w:pPr>
            <w:r>
              <w:rPr>
                <w:color w:val="000000"/>
                <w:sz w:val="22"/>
              </w:rPr>
              <w:t xml:space="preserve">       0%</w:t>
            </w:r>
          </w:p>
        </w:tc>
      </w:tr>
      <w:bookmarkEnd w:id="10"/>
      <w:tr w:rsidR="00537EEE" w:rsidTr="003A41DB">
        <w:trPr>
          <w:cantSplit/>
        </w:trPr>
        <w:tc>
          <w:tcPr>
            <w:tcW w:w="0" w:type="auto"/>
            <w:vMerge/>
            <w:vAlign w:val="center"/>
          </w:tcPr>
          <w:p w:rsidR="00537EEE" w:rsidRDefault="00537EEE" w:rsidP="003F50A9">
            <w:pPr>
              <w:spacing w:beforeAutospacing="1" w:afterAutospacing="1"/>
            </w:pPr>
          </w:p>
        </w:tc>
        <w:tc>
          <w:tcPr>
            <w:tcW w:w="0" w:type="auto"/>
            <w:vMerge/>
            <w:vAlign w:val="center"/>
          </w:tcPr>
          <w:p w:rsidR="00537EEE" w:rsidRDefault="00537EEE" w:rsidP="003F50A9">
            <w:pPr>
              <w:spacing w:beforeAutospacing="1" w:afterAutospacing="1"/>
            </w:pPr>
          </w:p>
        </w:tc>
        <w:tc>
          <w:tcPr>
            <w:tcW w:w="0" w:type="auto"/>
            <w:vMerge/>
            <w:vAlign w:val="center"/>
          </w:tcPr>
          <w:p w:rsidR="00537EEE" w:rsidRDefault="00537EEE" w:rsidP="003F50A9">
            <w:pPr>
              <w:spacing w:beforeAutospacing="1" w:afterAutospacing="1"/>
            </w:pPr>
          </w:p>
        </w:tc>
        <w:tc>
          <w:tcPr>
            <w:tcW w:w="0" w:type="auto"/>
            <w:vAlign w:val="center"/>
          </w:tcPr>
          <w:p w:rsidR="00537EEE" w:rsidRDefault="00537EEE" w:rsidP="003F50A9">
            <w:pPr>
              <w:spacing w:beforeAutospacing="1" w:afterAutospacing="1"/>
            </w:pPr>
            <w:r>
              <w:rPr>
                <w:color w:val="000000"/>
                <w:sz w:val="22"/>
              </w:rPr>
              <w:t>Public service activities other than Low/Moderate Income Housing Benefit</w:t>
            </w:r>
          </w:p>
        </w:tc>
        <w:tc>
          <w:tcPr>
            <w:tcW w:w="0" w:type="auto"/>
            <w:vAlign w:val="center"/>
          </w:tcPr>
          <w:p w:rsidR="00537EEE" w:rsidRDefault="00537EEE" w:rsidP="003F50A9">
            <w:pPr>
              <w:spacing w:beforeAutospacing="1" w:afterAutospacing="1"/>
            </w:pPr>
            <w:r>
              <w:rPr>
                <w:color w:val="000000"/>
                <w:sz w:val="22"/>
              </w:rPr>
              <w:t>Persons Assisted</w:t>
            </w:r>
          </w:p>
        </w:tc>
        <w:tc>
          <w:tcPr>
            <w:tcW w:w="0" w:type="auto"/>
            <w:vAlign w:val="center"/>
          </w:tcPr>
          <w:p w:rsidR="00537EEE" w:rsidRDefault="00537EEE" w:rsidP="003F50A9">
            <w:pPr>
              <w:spacing w:beforeAutospacing="1" w:afterAutospacing="1"/>
            </w:pPr>
            <w:r>
              <w:rPr>
                <w:color w:val="000000"/>
                <w:sz w:val="22"/>
              </w:rPr>
              <w:t>500</w:t>
            </w:r>
          </w:p>
        </w:tc>
        <w:tc>
          <w:tcPr>
            <w:tcW w:w="0" w:type="auto"/>
            <w:vAlign w:val="center"/>
          </w:tcPr>
          <w:p w:rsidR="00537EEE" w:rsidRDefault="00105CFF" w:rsidP="003F50A9">
            <w:pPr>
              <w:spacing w:beforeAutospacing="1" w:afterAutospacing="1"/>
            </w:pPr>
            <w:r>
              <w:rPr>
                <w:color w:val="000000"/>
                <w:sz w:val="22"/>
                <w:highlight w:val="cyan"/>
              </w:rPr>
              <w:t>2528</w:t>
            </w:r>
          </w:p>
        </w:tc>
        <w:tc>
          <w:tcPr>
            <w:tcW w:w="0" w:type="auto"/>
            <w:vAlign w:val="center"/>
          </w:tcPr>
          <w:p w:rsidR="00537EEE" w:rsidRDefault="00537EEE" w:rsidP="003F50A9">
            <w:pPr>
              <w:spacing w:beforeAutospacing="1" w:afterAutospacing="1"/>
            </w:pPr>
            <w:r>
              <w:rPr>
                <w:color w:val="000000"/>
                <w:sz w:val="22"/>
              </w:rPr>
              <w:t xml:space="preserve">        </w:t>
            </w:r>
            <w:r w:rsidR="00105CFF">
              <w:rPr>
                <w:color w:val="000000"/>
                <w:sz w:val="22"/>
              </w:rPr>
              <w:t>505.6</w:t>
            </w:r>
            <w:r>
              <w:rPr>
                <w:color w:val="000000"/>
                <w:sz w:val="22"/>
              </w:rPr>
              <w:t>%</w:t>
            </w:r>
          </w:p>
        </w:tc>
        <w:tc>
          <w:tcPr>
            <w:tcW w:w="0" w:type="auto"/>
            <w:vAlign w:val="center"/>
          </w:tcPr>
          <w:p w:rsidR="00537EEE" w:rsidRDefault="00661836" w:rsidP="003F50A9">
            <w:pPr>
              <w:spacing w:beforeAutospacing="1" w:afterAutospacing="1"/>
            </w:pPr>
            <w:r>
              <w:rPr>
                <w:color w:val="000000"/>
                <w:sz w:val="22"/>
              </w:rPr>
              <w:t>325</w:t>
            </w:r>
          </w:p>
        </w:tc>
        <w:tc>
          <w:tcPr>
            <w:tcW w:w="0" w:type="auto"/>
            <w:vAlign w:val="center"/>
          </w:tcPr>
          <w:p w:rsidR="00537EEE" w:rsidRPr="00105CFF" w:rsidRDefault="00105CFF" w:rsidP="003F50A9">
            <w:pPr>
              <w:spacing w:beforeAutospacing="1" w:afterAutospacing="1"/>
              <w:rPr>
                <w:highlight w:val="cyan"/>
              </w:rPr>
            </w:pPr>
            <w:r w:rsidRPr="00105CFF">
              <w:rPr>
                <w:color w:val="000000"/>
                <w:sz w:val="22"/>
                <w:highlight w:val="cyan"/>
              </w:rPr>
              <w:t>1261</w:t>
            </w:r>
          </w:p>
        </w:tc>
        <w:tc>
          <w:tcPr>
            <w:tcW w:w="581" w:type="dxa"/>
            <w:vAlign w:val="center"/>
          </w:tcPr>
          <w:p w:rsidR="00537EEE" w:rsidRDefault="00537EEE" w:rsidP="003F50A9">
            <w:pPr>
              <w:spacing w:beforeAutospacing="1" w:afterAutospacing="1"/>
            </w:pPr>
            <w:r>
              <w:rPr>
                <w:color w:val="000000"/>
                <w:sz w:val="22"/>
              </w:rPr>
              <w:t xml:space="preserve">       </w:t>
            </w:r>
            <w:r w:rsidR="00105CFF" w:rsidRPr="00105CFF">
              <w:rPr>
                <w:color w:val="000000"/>
                <w:sz w:val="22"/>
              </w:rPr>
              <w:t>388</w:t>
            </w:r>
            <w:r w:rsidRPr="00105CFF">
              <w:rPr>
                <w:color w:val="000000"/>
                <w:sz w:val="22"/>
              </w:rPr>
              <w:t>.00%</w:t>
            </w:r>
          </w:p>
        </w:tc>
      </w:tr>
      <w:tr w:rsidR="00537EEE" w:rsidTr="003A41DB">
        <w:trPr>
          <w:cantSplit/>
        </w:trPr>
        <w:tc>
          <w:tcPr>
            <w:tcW w:w="0" w:type="auto"/>
            <w:vMerge/>
            <w:vAlign w:val="center"/>
          </w:tcPr>
          <w:p w:rsidR="00537EEE" w:rsidRDefault="00537EEE">
            <w:pPr>
              <w:spacing w:beforeAutospacing="1" w:afterAutospacing="1"/>
            </w:pPr>
            <w:bookmarkStart w:id="11" w:name="_Hlk114838232"/>
          </w:p>
        </w:tc>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Align w:val="center"/>
          </w:tcPr>
          <w:p w:rsidR="00537EEE" w:rsidRDefault="00537EEE">
            <w:pPr>
              <w:spacing w:beforeAutospacing="1" w:afterAutospacing="1"/>
            </w:pPr>
            <w:r>
              <w:rPr>
                <w:color w:val="000000"/>
                <w:sz w:val="22"/>
              </w:rPr>
              <w:t>Homeless Person Overnight Shelter</w:t>
            </w:r>
          </w:p>
        </w:tc>
        <w:tc>
          <w:tcPr>
            <w:tcW w:w="0" w:type="auto"/>
            <w:vAlign w:val="center"/>
          </w:tcPr>
          <w:p w:rsidR="00537EEE" w:rsidRDefault="00537EEE">
            <w:pPr>
              <w:spacing w:beforeAutospacing="1" w:afterAutospacing="1"/>
            </w:pPr>
            <w:r>
              <w:t>Persons Assisted</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7C5379">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7C5379">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7C5379">
              <w:rPr>
                <w:color w:val="000000"/>
                <w:sz w:val="22"/>
              </w:rPr>
              <w:t>0</w:t>
            </w:r>
          </w:p>
        </w:tc>
        <w:tc>
          <w:tcPr>
            <w:tcW w:w="581" w:type="dxa"/>
            <w:vAlign w:val="center"/>
          </w:tcPr>
          <w:p w:rsidR="00537EEE" w:rsidRDefault="00537EEE">
            <w:pPr>
              <w:spacing w:beforeAutospacing="1" w:afterAutospacing="1"/>
            </w:pPr>
            <w:r>
              <w:rPr>
                <w:color w:val="000000"/>
                <w:sz w:val="22"/>
              </w:rPr>
              <w:t xml:space="preserve"> </w:t>
            </w:r>
            <w:r w:rsidR="007C5379">
              <w:rPr>
                <w:color w:val="000000"/>
                <w:sz w:val="22"/>
              </w:rPr>
              <w:t>0</w:t>
            </w:r>
          </w:p>
        </w:tc>
      </w:tr>
      <w:bookmarkEnd w:id="11"/>
      <w:tr w:rsidR="00537EEE" w:rsidTr="003A41DB">
        <w:trPr>
          <w:cantSplit/>
        </w:trPr>
        <w:tc>
          <w:tcPr>
            <w:tcW w:w="0" w:type="auto"/>
            <w:vMerge/>
            <w:vAlign w:val="center"/>
          </w:tcPr>
          <w:p w:rsidR="00537EEE" w:rsidRDefault="00537EEE" w:rsidP="00BB4F70">
            <w:pPr>
              <w:spacing w:before="100" w:beforeAutospacing="1" w:after="100" w:afterAutospacing="1"/>
            </w:pPr>
          </w:p>
        </w:tc>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Align w:val="center"/>
          </w:tcPr>
          <w:p w:rsidR="00537EEE" w:rsidRDefault="00537EEE">
            <w:pPr>
              <w:spacing w:beforeAutospacing="1" w:afterAutospacing="1"/>
            </w:pPr>
            <w:r>
              <w:rPr>
                <w:color w:val="000000"/>
                <w:sz w:val="22"/>
              </w:rPr>
              <w:t>Overnight/Emergency Shelter/Transitional Housing Beds added</w:t>
            </w:r>
          </w:p>
        </w:tc>
        <w:tc>
          <w:tcPr>
            <w:tcW w:w="0" w:type="auto"/>
            <w:vAlign w:val="center"/>
          </w:tcPr>
          <w:p w:rsidR="00537EEE" w:rsidRDefault="00537EEE">
            <w:pPr>
              <w:spacing w:beforeAutospacing="1" w:afterAutospacing="1"/>
            </w:pPr>
            <w:r>
              <w:t>Beds</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7C5379">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7C5379">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7C5379">
              <w:rPr>
                <w:color w:val="000000"/>
                <w:sz w:val="22"/>
              </w:rPr>
              <w:t>0</w:t>
            </w:r>
          </w:p>
        </w:tc>
        <w:tc>
          <w:tcPr>
            <w:tcW w:w="581" w:type="dxa"/>
            <w:vAlign w:val="center"/>
          </w:tcPr>
          <w:p w:rsidR="00537EEE" w:rsidRDefault="00537EEE" w:rsidP="00BB4F70">
            <w:pPr>
              <w:spacing w:before="100" w:beforeAutospacing="1" w:after="100" w:afterAutospacing="1"/>
            </w:pPr>
            <w:r>
              <w:rPr>
                <w:color w:val="000000"/>
                <w:sz w:val="22"/>
              </w:rPr>
              <w:t xml:space="preserve"> </w:t>
            </w:r>
            <w:r w:rsidR="007C5379">
              <w:rPr>
                <w:color w:val="000000"/>
                <w:sz w:val="22"/>
              </w:rPr>
              <w:t>0</w:t>
            </w:r>
          </w:p>
        </w:tc>
      </w:tr>
      <w:tr w:rsidR="00537EEE" w:rsidTr="003A41DB">
        <w:trPr>
          <w:cantSplit/>
        </w:trPr>
        <w:tc>
          <w:tcPr>
            <w:tcW w:w="0" w:type="auto"/>
            <w:vMerge/>
            <w:vAlign w:val="center"/>
          </w:tcPr>
          <w:p w:rsidR="00537EEE" w:rsidRDefault="00537EEE" w:rsidP="00417131">
            <w:pPr>
              <w:spacing w:beforeAutospacing="1" w:afterAutospacing="1"/>
            </w:pPr>
          </w:p>
        </w:tc>
        <w:tc>
          <w:tcPr>
            <w:tcW w:w="0" w:type="auto"/>
            <w:vMerge/>
            <w:vAlign w:val="center"/>
          </w:tcPr>
          <w:p w:rsidR="00537EEE" w:rsidRDefault="00537EEE" w:rsidP="00417131">
            <w:pPr>
              <w:spacing w:beforeAutospacing="1" w:afterAutospacing="1"/>
            </w:pPr>
          </w:p>
        </w:tc>
        <w:tc>
          <w:tcPr>
            <w:tcW w:w="0" w:type="auto"/>
            <w:vMerge/>
            <w:vAlign w:val="center"/>
          </w:tcPr>
          <w:p w:rsidR="00537EEE" w:rsidRDefault="00537EEE" w:rsidP="00417131">
            <w:pPr>
              <w:spacing w:beforeAutospacing="1" w:afterAutospacing="1"/>
            </w:pPr>
          </w:p>
        </w:tc>
        <w:tc>
          <w:tcPr>
            <w:tcW w:w="0" w:type="auto"/>
            <w:vAlign w:val="center"/>
          </w:tcPr>
          <w:p w:rsidR="00537EEE" w:rsidRDefault="00537EEE" w:rsidP="00417131">
            <w:pPr>
              <w:spacing w:beforeAutospacing="1" w:afterAutospacing="1"/>
            </w:pPr>
            <w:r>
              <w:rPr>
                <w:color w:val="000000"/>
                <w:sz w:val="22"/>
              </w:rPr>
              <w:t>Homelessness Prevention</w:t>
            </w:r>
          </w:p>
        </w:tc>
        <w:tc>
          <w:tcPr>
            <w:tcW w:w="0" w:type="auto"/>
            <w:vAlign w:val="center"/>
          </w:tcPr>
          <w:p w:rsidR="00537EEE" w:rsidRDefault="00537EEE" w:rsidP="00417131">
            <w:pPr>
              <w:spacing w:beforeAutospacing="1" w:afterAutospacing="1"/>
            </w:pPr>
            <w:r>
              <w:rPr>
                <w:color w:val="000000"/>
                <w:sz w:val="22"/>
              </w:rPr>
              <w:t>Persons Assisted</w:t>
            </w:r>
          </w:p>
        </w:tc>
        <w:tc>
          <w:tcPr>
            <w:tcW w:w="0" w:type="auto"/>
            <w:vAlign w:val="center"/>
          </w:tcPr>
          <w:p w:rsidR="00537EEE" w:rsidRDefault="00000551" w:rsidP="00417131">
            <w:pPr>
              <w:spacing w:beforeAutospacing="1" w:afterAutospacing="1"/>
            </w:pPr>
            <w:r>
              <w:rPr>
                <w:color w:val="000000"/>
                <w:sz w:val="22"/>
              </w:rPr>
              <w:t>0</w:t>
            </w:r>
          </w:p>
        </w:tc>
        <w:tc>
          <w:tcPr>
            <w:tcW w:w="0" w:type="auto"/>
            <w:vAlign w:val="center"/>
          </w:tcPr>
          <w:p w:rsidR="00537EEE" w:rsidRDefault="00000551" w:rsidP="00417131">
            <w:pPr>
              <w:spacing w:beforeAutospacing="1" w:afterAutospacing="1"/>
            </w:pPr>
            <w:r>
              <w:t>0</w:t>
            </w:r>
          </w:p>
        </w:tc>
        <w:tc>
          <w:tcPr>
            <w:tcW w:w="0" w:type="auto"/>
            <w:vAlign w:val="center"/>
          </w:tcPr>
          <w:p w:rsidR="00537EEE" w:rsidRDefault="00537EEE" w:rsidP="00417131">
            <w:pPr>
              <w:spacing w:beforeAutospacing="1" w:afterAutospacing="1"/>
            </w:pPr>
            <w:r>
              <w:rPr>
                <w:color w:val="000000"/>
                <w:sz w:val="22"/>
              </w:rPr>
              <w:t xml:space="preserve"> </w:t>
            </w:r>
            <w:r w:rsidR="007C5379">
              <w:rPr>
                <w:color w:val="000000"/>
                <w:sz w:val="22"/>
              </w:rPr>
              <w:t>%</w:t>
            </w:r>
          </w:p>
        </w:tc>
        <w:tc>
          <w:tcPr>
            <w:tcW w:w="0" w:type="auto"/>
            <w:vAlign w:val="center"/>
          </w:tcPr>
          <w:p w:rsidR="00537EEE" w:rsidRDefault="00537EEE" w:rsidP="00417131">
            <w:pPr>
              <w:spacing w:beforeAutospacing="1" w:afterAutospacing="1"/>
            </w:pPr>
            <w:r>
              <w:rPr>
                <w:color w:val="000000"/>
                <w:sz w:val="22"/>
              </w:rPr>
              <w:t xml:space="preserve"> </w:t>
            </w:r>
            <w:r w:rsidR="007C5379">
              <w:rPr>
                <w:color w:val="000000"/>
                <w:sz w:val="22"/>
              </w:rPr>
              <w:t>0</w:t>
            </w:r>
          </w:p>
        </w:tc>
        <w:tc>
          <w:tcPr>
            <w:tcW w:w="0" w:type="auto"/>
            <w:vAlign w:val="center"/>
          </w:tcPr>
          <w:p w:rsidR="00537EEE" w:rsidRDefault="00537EEE" w:rsidP="00417131">
            <w:pPr>
              <w:spacing w:beforeAutospacing="1" w:afterAutospacing="1"/>
            </w:pPr>
            <w:r>
              <w:rPr>
                <w:color w:val="000000"/>
                <w:sz w:val="22"/>
              </w:rPr>
              <w:t xml:space="preserve"> </w:t>
            </w:r>
            <w:r w:rsidR="007C5379">
              <w:rPr>
                <w:color w:val="000000"/>
                <w:sz w:val="22"/>
              </w:rPr>
              <w:t>0</w:t>
            </w:r>
          </w:p>
        </w:tc>
        <w:tc>
          <w:tcPr>
            <w:tcW w:w="581" w:type="dxa"/>
            <w:vAlign w:val="center"/>
          </w:tcPr>
          <w:p w:rsidR="00537EEE" w:rsidRDefault="00537EEE" w:rsidP="00417131">
            <w:pPr>
              <w:spacing w:beforeAutospacing="1" w:afterAutospacing="1"/>
            </w:pPr>
            <w:r>
              <w:rPr>
                <w:color w:val="000000"/>
                <w:sz w:val="22"/>
              </w:rPr>
              <w:t xml:space="preserve"> </w:t>
            </w:r>
            <w:r w:rsidR="007C5379">
              <w:rPr>
                <w:color w:val="000000"/>
                <w:sz w:val="22"/>
              </w:rPr>
              <w:t>0</w:t>
            </w:r>
          </w:p>
        </w:tc>
      </w:tr>
      <w:tr w:rsidR="00537EEE" w:rsidTr="003A41DB">
        <w:trPr>
          <w:cantSplit/>
        </w:trPr>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581" w:type="dxa"/>
            <w:vAlign w:val="center"/>
          </w:tcPr>
          <w:p w:rsidR="00537EEE" w:rsidRDefault="00537EEE">
            <w:pPr>
              <w:spacing w:beforeAutospacing="1" w:afterAutospacing="1"/>
              <w:rPr>
                <w:color w:val="000000"/>
              </w:rPr>
            </w:pPr>
          </w:p>
        </w:tc>
      </w:tr>
      <w:tr w:rsidR="00537EEE" w:rsidTr="003A41DB">
        <w:trPr>
          <w:cantSplit/>
        </w:trPr>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581" w:type="dxa"/>
            <w:vAlign w:val="center"/>
          </w:tcPr>
          <w:p w:rsidR="00537EEE" w:rsidRDefault="00537EEE">
            <w:pPr>
              <w:spacing w:beforeAutospacing="1" w:afterAutospacing="1"/>
              <w:rPr>
                <w:color w:val="000000"/>
              </w:rPr>
            </w:pPr>
          </w:p>
        </w:tc>
      </w:tr>
      <w:tr w:rsidR="00537EEE" w:rsidTr="003A41DB">
        <w:trPr>
          <w:cantSplit/>
        </w:trPr>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0" w:type="auto"/>
            <w:vAlign w:val="center"/>
          </w:tcPr>
          <w:p w:rsidR="00537EEE" w:rsidRDefault="00537EEE">
            <w:pPr>
              <w:spacing w:beforeAutospacing="1" w:afterAutospacing="1"/>
              <w:rPr>
                <w:color w:val="000000"/>
              </w:rPr>
            </w:pPr>
          </w:p>
        </w:tc>
        <w:tc>
          <w:tcPr>
            <w:tcW w:w="581" w:type="dxa"/>
            <w:vAlign w:val="center"/>
          </w:tcPr>
          <w:p w:rsidR="00537EEE" w:rsidRDefault="00537EEE">
            <w:pPr>
              <w:spacing w:beforeAutospacing="1" w:afterAutospacing="1"/>
              <w:rPr>
                <w:color w:val="000000"/>
              </w:rPr>
            </w:pPr>
          </w:p>
        </w:tc>
      </w:tr>
      <w:tr w:rsidR="00537EEE" w:rsidTr="003A41DB">
        <w:trPr>
          <w:cantSplit/>
        </w:trPr>
        <w:tc>
          <w:tcPr>
            <w:tcW w:w="0" w:type="auto"/>
            <w:vMerge w:val="restart"/>
            <w:vAlign w:val="center"/>
          </w:tcPr>
          <w:p w:rsidR="00537EEE" w:rsidRDefault="00537EEE">
            <w:pPr>
              <w:spacing w:beforeAutospacing="1" w:afterAutospacing="1"/>
            </w:pPr>
            <w:r>
              <w:rPr>
                <w:color w:val="000000"/>
                <w:sz w:val="22"/>
              </w:rPr>
              <w:lastRenderedPageBreak/>
              <w:t>Housing and Homeless Prevention</w:t>
            </w:r>
          </w:p>
        </w:tc>
        <w:tc>
          <w:tcPr>
            <w:tcW w:w="0" w:type="auto"/>
            <w:vMerge w:val="restart"/>
            <w:vAlign w:val="center"/>
          </w:tcPr>
          <w:p w:rsidR="00537EEE" w:rsidRDefault="00537EEE">
            <w:pPr>
              <w:spacing w:beforeAutospacing="1" w:afterAutospacing="1"/>
            </w:pPr>
            <w:r>
              <w:rPr>
                <w:color w:val="000000"/>
                <w:sz w:val="22"/>
              </w:rPr>
              <w:t>Affordable Housing</w:t>
            </w:r>
            <w:r>
              <w:rPr>
                <w:color w:val="000000"/>
                <w:sz w:val="22"/>
              </w:rPr>
              <w:br/>
              <w:t>Homeless</w:t>
            </w:r>
          </w:p>
        </w:tc>
        <w:tc>
          <w:tcPr>
            <w:tcW w:w="0" w:type="auto"/>
            <w:vMerge w:val="restart"/>
            <w:vAlign w:val="center"/>
          </w:tcPr>
          <w:p w:rsidR="00537EEE" w:rsidRDefault="00537EEE">
            <w:pPr>
              <w:spacing w:beforeAutospacing="1" w:afterAutospacing="1"/>
            </w:pPr>
            <w:r>
              <w:rPr>
                <w:color w:val="000000"/>
                <w:sz w:val="22"/>
              </w:rPr>
              <w:t>CDBG: $</w:t>
            </w:r>
            <w:r w:rsidR="00661836">
              <w:rPr>
                <w:color w:val="000000"/>
                <w:sz w:val="22"/>
              </w:rPr>
              <w:t>85,000</w:t>
            </w:r>
          </w:p>
        </w:tc>
        <w:tc>
          <w:tcPr>
            <w:tcW w:w="0" w:type="auto"/>
            <w:vAlign w:val="center"/>
          </w:tcPr>
          <w:p w:rsidR="00537EEE" w:rsidRDefault="00537EEE">
            <w:pPr>
              <w:spacing w:beforeAutospacing="1" w:afterAutospacing="1"/>
            </w:pPr>
            <w:r>
              <w:rPr>
                <w:color w:val="000000"/>
                <w:sz w:val="22"/>
              </w:rPr>
              <w:t>Homeowner Housing Rehabilitated</w:t>
            </w:r>
          </w:p>
        </w:tc>
        <w:tc>
          <w:tcPr>
            <w:tcW w:w="0" w:type="auto"/>
            <w:vAlign w:val="center"/>
          </w:tcPr>
          <w:p w:rsidR="00537EEE" w:rsidRDefault="00537EEE">
            <w:pPr>
              <w:spacing w:beforeAutospacing="1" w:afterAutospacing="1"/>
            </w:pPr>
            <w:r>
              <w:rPr>
                <w:color w:val="000000"/>
                <w:sz w:val="22"/>
              </w:rPr>
              <w:t>Household Housing Unit</w:t>
            </w:r>
          </w:p>
        </w:tc>
        <w:tc>
          <w:tcPr>
            <w:tcW w:w="0" w:type="auto"/>
            <w:vAlign w:val="center"/>
          </w:tcPr>
          <w:p w:rsidR="00537EEE" w:rsidRDefault="00537EEE">
            <w:pPr>
              <w:spacing w:beforeAutospacing="1" w:afterAutospacing="1"/>
            </w:pPr>
            <w:r>
              <w:rPr>
                <w:color w:val="000000"/>
                <w:sz w:val="22"/>
              </w:rPr>
              <w:t>100</w:t>
            </w:r>
          </w:p>
        </w:tc>
        <w:tc>
          <w:tcPr>
            <w:tcW w:w="0" w:type="auto"/>
            <w:vAlign w:val="center"/>
          </w:tcPr>
          <w:p w:rsidR="00537EEE" w:rsidRDefault="00661836">
            <w:pPr>
              <w:spacing w:beforeAutospacing="1" w:afterAutospacing="1"/>
            </w:pPr>
            <w:r w:rsidRPr="00661836">
              <w:rPr>
                <w:highlight w:val="cyan"/>
              </w:rPr>
              <w:t>141</w:t>
            </w:r>
          </w:p>
        </w:tc>
        <w:tc>
          <w:tcPr>
            <w:tcW w:w="0" w:type="auto"/>
            <w:vAlign w:val="center"/>
          </w:tcPr>
          <w:p w:rsidR="00537EEE" w:rsidRDefault="00537EEE">
            <w:pPr>
              <w:spacing w:beforeAutospacing="1" w:afterAutospacing="1"/>
            </w:pPr>
            <w:r>
              <w:rPr>
                <w:color w:val="000000"/>
                <w:sz w:val="22"/>
              </w:rPr>
              <w:t xml:space="preserve">        </w:t>
            </w:r>
            <w:r w:rsidR="00105CFF">
              <w:rPr>
                <w:color w:val="000000"/>
                <w:sz w:val="22"/>
              </w:rPr>
              <w:t>141</w:t>
            </w:r>
            <w:r>
              <w:rPr>
                <w:color w:val="000000"/>
                <w:sz w:val="22"/>
              </w:rPr>
              <w:t>.00%</w:t>
            </w:r>
          </w:p>
        </w:tc>
        <w:tc>
          <w:tcPr>
            <w:tcW w:w="0" w:type="auto"/>
            <w:vAlign w:val="center"/>
          </w:tcPr>
          <w:p w:rsidR="00537EEE" w:rsidRPr="00390CB6" w:rsidRDefault="00661836">
            <w:pPr>
              <w:spacing w:beforeAutospacing="1" w:afterAutospacing="1"/>
              <w:rPr>
                <w:highlight w:val="yellow"/>
              </w:rPr>
            </w:pPr>
            <w:r>
              <w:rPr>
                <w:color w:val="000000"/>
                <w:sz w:val="22"/>
              </w:rPr>
              <w:t>25</w:t>
            </w:r>
          </w:p>
        </w:tc>
        <w:tc>
          <w:tcPr>
            <w:tcW w:w="0" w:type="auto"/>
            <w:vAlign w:val="center"/>
          </w:tcPr>
          <w:p w:rsidR="00537EEE" w:rsidRDefault="00105CFF">
            <w:pPr>
              <w:spacing w:beforeAutospacing="1" w:afterAutospacing="1"/>
            </w:pPr>
            <w:r w:rsidRPr="00105CFF">
              <w:rPr>
                <w:color w:val="000000"/>
                <w:sz w:val="22"/>
                <w:highlight w:val="cyan"/>
              </w:rPr>
              <w:t>26</w:t>
            </w:r>
          </w:p>
        </w:tc>
        <w:tc>
          <w:tcPr>
            <w:tcW w:w="581" w:type="dxa"/>
            <w:vAlign w:val="center"/>
          </w:tcPr>
          <w:p w:rsidR="00537EEE" w:rsidRDefault="00537EEE">
            <w:pPr>
              <w:spacing w:beforeAutospacing="1" w:afterAutospacing="1"/>
            </w:pPr>
            <w:r>
              <w:rPr>
                <w:color w:val="000000"/>
                <w:sz w:val="22"/>
              </w:rPr>
              <w:t xml:space="preserve">    </w:t>
            </w:r>
            <w:r w:rsidR="00105CFF">
              <w:rPr>
                <w:color w:val="000000"/>
                <w:sz w:val="22"/>
              </w:rPr>
              <w:t>104</w:t>
            </w:r>
            <w:r w:rsidRPr="003A41DB">
              <w:rPr>
                <w:color w:val="000000"/>
                <w:sz w:val="22"/>
              </w:rPr>
              <w:t>%</w:t>
            </w:r>
          </w:p>
        </w:tc>
      </w:tr>
      <w:tr w:rsidR="00537EEE" w:rsidTr="003A41DB">
        <w:trPr>
          <w:cantSplit/>
        </w:trPr>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Align w:val="center"/>
          </w:tcPr>
          <w:p w:rsidR="00537EEE" w:rsidRDefault="00537EEE">
            <w:pPr>
              <w:spacing w:beforeAutospacing="1" w:afterAutospacing="1"/>
            </w:pPr>
            <w:r>
              <w:rPr>
                <w:color w:val="000000"/>
                <w:sz w:val="22"/>
              </w:rPr>
              <w:t>Homeless Person Overnight Shelter</w:t>
            </w:r>
          </w:p>
        </w:tc>
        <w:tc>
          <w:tcPr>
            <w:tcW w:w="0" w:type="auto"/>
            <w:vAlign w:val="center"/>
          </w:tcPr>
          <w:p w:rsidR="00537EEE" w:rsidRDefault="00537EEE">
            <w:pPr>
              <w:spacing w:beforeAutospacing="1" w:afterAutospacing="1"/>
            </w:pPr>
            <w:r>
              <w:rPr>
                <w:color w:val="000000"/>
                <w:sz w:val="22"/>
              </w:rPr>
              <w:t>Persons Assisted</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581" w:type="dxa"/>
            <w:vAlign w:val="center"/>
          </w:tcPr>
          <w:p w:rsidR="00537EEE" w:rsidRDefault="00537EEE">
            <w:pPr>
              <w:spacing w:beforeAutospacing="1" w:afterAutospacing="1"/>
            </w:pPr>
            <w:r>
              <w:rPr>
                <w:color w:val="000000"/>
                <w:sz w:val="22"/>
              </w:rPr>
              <w:t xml:space="preserve"> </w:t>
            </w:r>
            <w:r w:rsidR="003A41DB">
              <w:rPr>
                <w:color w:val="000000"/>
                <w:sz w:val="22"/>
              </w:rPr>
              <w:t>0</w:t>
            </w:r>
          </w:p>
        </w:tc>
      </w:tr>
      <w:tr w:rsidR="00537EEE" w:rsidTr="003A41DB">
        <w:trPr>
          <w:cantSplit/>
        </w:trPr>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Align w:val="center"/>
          </w:tcPr>
          <w:p w:rsidR="00537EEE" w:rsidRDefault="00537EEE">
            <w:pPr>
              <w:spacing w:beforeAutospacing="1" w:afterAutospacing="1"/>
            </w:pPr>
            <w:r>
              <w:rPr>
                <w:color w:val="000000"/>
                <w:sz w:val="22"/>
              </w:rPr>
              <w:t>Overnight/Emergency Shelter/Transitional Housing Beds added</w:t>
            </w:r>
          </w:p>
        </w:tc>
        <w:tc>
          <w:tcPr>
            <w:tcW w:w="0" w:type="auto"/>
            <w:vAlign w:val="center"/>
          </w:tcPr>
          <w:p w:rsidR="00537EEE" w:rsidRDefault="00537EEE">
            <w:pPr>
              <w:spacing w:beforeAutospacing="1" w:afterAutospacing="1"/>
            </w:pPr>
            <w:r>
              <w:rPr>
                <w:color w:val="000000"/>
                <w:sz w:val="22"/>
              </w:rPr>
              <w:t>Beds</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581" w:type="dxa"/>
            <w:vAlign w:val="center"/>
          </w:tcPr>
          <w:p w:rsidR="00537EEE" w:rsidRDefault="00537EEE">
            <w:pPr>
              <w:spacing w:beforeAutospacing="1" w:afterAutospacing="1"/>
            </w:pPr>
            <w:r>
              <w:rPr>
                <w:color w:val="000000"/>
                <w:sz w:val="22"/>
              </w:rPr>
              <w:t xml:space="preserve"> </w:t>
            </w:r>
            <w:r w:rsidR="003A41DB">
              <w:rPr>
                <w:color w:val="000000"/>
                <w:sz w:val="22"/>
              </w:rPr>
              <w:t>0</w:t>
            </w:r>
          </w:p>
        </w:tc>
      </w:tr>
      <w:tr w:rsidR="00537EEE" w:rsidTr="003A41DB">
        <w:trPr>
          <w:cantSplit/>
        </w:trPr>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Align w:val="center"/>
          </w:tcPr>
          <w:p w:rsidR="00537EEE" w:rsidRDefault="00537EEE">
            <w:pPr>
              <w:spacing w:beforeAutospacing="1" w:afterAutospacing="1"/>
            </w:pPr>
            <w:r>
              <w:rPr>
                <w:color w:val="000000"/>
                <w:sz w:val="22"/>
              </w:rPr>
              <w:t>Homelessness Prevention</w:t>
            </w:r>
          </w:p>
        </w:tc>
        <w:tc>
          <w:tcPr>
            <w:tcW w:w="0" w:type="auto"/>
            <w:vAlign w:val="center"/>
          </w:tcPr>
          <w:p w:rsidR="00537EEE" w:rsidRDefault="00537EEE">
            <w:pPr>
              <w:spacing w:beforeAutospacing="1" w:afterAutospacing="1"/>
            </w:pPr>
            <w:r>
              <w:rPr>
                <w:color w:val="000000"/>
                <w:sz w:val="22"/>
              </w:rPr>
              <w:t>Persons Assisted</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581" w:type="dxa"/>
            <w:vAlign w:val="center"/>
          </w:tcPr>
          <w:p w:rsidR="00537EEE" w:rsidRDefault="00537EEE">
            <w:pPr>
              <w:spacing w:beforeAutospacing="1" w:afterAutospacing="1"/>
            </w:pPr>
            <w:r>
              <w:rPr>
                <w:color w:val="000000"/>
                <w:sz w:val="22"/>
              </w:rPr>
              <w:t xml:space="preserve"> </w:t>
            </w:r>
            <w:r w:rsidR="003A41DB">
              <w:rPr>
                <w:color w:val="000000"/>
                <w:sz w:val="22"/>
              </w:rPr>
              <w:t>0</w:t>
            </w:r>
          </w:p>
        </w:tc>
      </w:tr>
      <w:tr w:rsidR="00537EEE" w:rsidTr="003A41DB">
        <w:trPr>
          <w:cantSplit/>
        </w:trPr>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Merge/>
            <w:vAlign w:val="center"/>
          </w:tcPr>
          <w:p w:rsidR="00537EEE" w:rsidRDefault="00537EEE">
            <w:pPr>
              <w:spacing w:beforeAutospacing="1" w:afterAutospacing="1"/>
            </w:pPr>
          </w:p>
        </w:tc>
        <w:tc>
          <w:tcPr>
            <w:tcW w:w="0" w:type="auto"/>
            <w:vAlign w:val="center"/>
          </w:tcPr>
          <w:p w:rsidR="00537EEE" w:rsidRDefault="00537EEE">
            <w:pPr>
              <w:spacing w:beforeAutospacing="1" w:afterAutospacing="1"/>
            </w:pPr>
            <w:r>
              <w:rPr>
                <w:color w:val="000000"/>
                <w:sz w:val="22"/>
              </w:rPr>
              <w:t>Housing for Homeless added</w:t>
            </w:r>
          </w:p>
        </w:tc>
        <w:tc>
          <w:tcPr>
            <w:tcW w:w="0" w:type="auto"/>
            <w:vAlign w:val="center"/>
          </w:tcPr>
          <w:p w:rsidR="00537EEE" w:rsidRDefault="00537EEE">
            <w:pPr>
              <w:spacing w:beforeAutospacing="1" w:afterAutospacing="1"/>
            </w:pPr>
            <w:r>
              <w:rPr>
                <w:color w:val="000000"/>
                <w:sz w:val="22"/>
              </w:rPr>
              <w:t>Household Housing Unit</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0" w:type="auto"/>
            <w:vAlign w:val="center"/>
          </w:tcPr>
          <w:p w:rsidR="00537EEE" w:rsidRDefault="00537EEE">
            <w:pPr>
              <w:spacing w:beforeAutospacing="1" w:afterAutospacing="1"/>
            </w:pPr>
            <w:r>
              <w:rPr>
                <w:color w:val="000000"/>
                <w:sz w:val="22"/>
              </w:rPr>
              <w:t xml:space="preserve"> </w:t>
            </w:r>
            <w:r w:rsidR="003A41DB">
              <w:rPr>
                <w:color w:val="000000"/>
                <w:sz w:val="22"/>
              </w:rPr>
              <w:t>0</w:t>
            </w:r>
          </w:p>
        </w:tc>
        <w:tc>
          <w:tcPr>
            <w:tcW w:w="581" w:type="dxa"/>
            <w:vAlign w:val="center"/>
          </w:tcPr>
          <w:p w:rsidR="00537EEE" w:rsidRDefault="00537EEE">
            <w:pPr>
              <w:spacing w:beforeAutospacing="1" w:afterAutospacing="1"/>
            </w:pPr>
            <w:r>
              <w:rPr>
                <w:color w:val="000000"/>
                <w:sz w:val="22"/>
              </w:rPr>
              <w:t xml:space="preserve"> </w:t>
            </w:r>
            <w:r w:rsidR="003A41DB">
              <w:rPr>
                <w:color w:val="000000"/>
                <w:sz w:val="22"/>
              </w:rPr>
              <w:t>0</w:t>
            </w:r>
          </w:p>
        </w:tc>
      </w:tr>
      <w:tr w:rsidR="00CA75A1" w:rsidTr="003A41DB">
        <w:trPr>
          <w:cantSplit/>
        </w:trPr>
        <w:tc>
          <w:tcPr>
            <w:tcW w:w="0" w:type="auto"/>
            <w:vAlign w:val="center"/>
          </w:tcPr>
          <w:p w:rsidR="00CA75A1" w:rsidRDefault="00CA75A1">
            <w:pPr>
              <w:spacing w:beforeAutospacing="1" w:afterAutospacing="1"/>
            </w:pPr>
            <w:bookmarkStart w:id="12" w:name="_Hlk115256935"/>
            <w:r w:rsidRPr="00FB2BA7">
              <w:rPr>
                <w:color w:val="000000"/>
                <w:highlight w:val="cyan"/>
              </w:rPr>
              <w:t>Clearance/ Demolition</w:t>
            </w:r>
          </w:p>
        </w:tc>
        <w:tc>
          <w:tcPr>
            <w:tcW w:w="0" w:type="auto"/>
            <w:vAlign w:val="center"/>
          </w:tcPr>
          <w:p w:rsidR="00CA75A1" w:rsidRDefault="00CA75A1">
            <w:pPr>
              <w:spacing w:beforeAutospacing="1" w:afterAutospacing="1"/>
            </w:pPr>
            <w:r>
              <w:rPr>
                <w:color w:val="000000"/>
              </w:rPr>
              <w:t>Non-Housing Community Development</w:t>
            </w:r>
          </w:p>
        </w:tc>
        <w:tc>
          <w:tcPr>
            <w:tcW w:w="0" w:type="auto"/>
            <w:vAlign w:val="center"/>
          </w:tcPr>
          <w:p w:rsidR="00CA75A1" w:rsidRDefault="00CA75A1">
            <w:pPr>
              <w:spacing w:beforeAutospacing="1" w:afterAutospacing="1"/>
            </w:pPr>
            <w:r>
              <w:rPr>
                <w:color w:val="000000"/>
              </w:rPr>
              <w:t>CDBG: $</w:t>
            </w:r>
            <w:r w:rsidR="00661836">
              <w:rPr>
                <w:color w:val="000000"/>
              </w:rPr>
              <w:t>6,913</w:t>
            </w:r>
          </w:p>
        </w:tc>
        <w:tc>
          <w:tcPr>
            <w:tcW w:w="0" w:type="auto"/>
            <w:vAlign w:val="center"/>
          </w:tcPr>
          <w:p w:rsidR="00CA75A1" w:rsidRDefault="00CA75A1">
            <w:pPr>
              <w:spacing w:beforeAutospacing="1" w:afterAutospacing="1"/>
            </w:pPr>
            <w:r>
              <w:rPr>
                <w:color w:val="000000"/>
              </w:rPr>
              <w:t>Buildings Demolished</w:t>
            </w:r>
          </w:p>
        </w:tc>
        <w:tc>
          <w:tcPr>
            <w:tcW w:w="0" w:type="auto"/>
            <w:vAlign w:val="center"/>
          </w:tcPr>
          <w:p w:rsidR="00CA75A1" w:rsidRDefault="00CA75A1">
            <w:pPr>
              <w:spacing w:beforeAutospacing="1" w:afterAutospacing="1"/>
            </w:pPr>
            <w:r>
              <w:rPr>
                <w:color w:val="000000"/>
              </w:rPr>
              <w:t>Buildings</w:t>
            </w:r>
          </w:p>
        </w:tc>
        <w:tc>
          <w:tcPr>
            <w:tcW w:w="0" w:type="auto"/>
            <w:vAlign w:val="center"/>
          </w:tcPr>
          <w:p w:rsidR="00CA75A1" w:rsidRPr="00105CFF" w:rsidRDefault="00105CFF">
            <w:pPr>
              <w:spacing w:beforeAutospacing="1" w:afterAutospacing="1"/>
              <w:rPr>
                <w:highlight w:val="cyan"/>
              </w:rPr>
            </w:pPr>
            <w:r w:rsidRPr="00105CFF">
              <w:rPr>
                <w:highlight w:val="cyan"/>
              </w:rPr>
              <w:t>4</w:t>
            </w:r>
          </w:p>
        </w:tc>
        <w:tc>
          <w:tcPr>
            <w:tcW w:w="0" w:type="auto"/>
            <w:vAlign w:val="center"/>
          </w:tcPr>
          <w:p w:rsidR="00CA75A1" w:rsidRPr="00105CFF" w:rsidRDefault="00105CFF">
            <w:pPr>
              <w:spacing w:beforeAutospacing="1" w:afterAutospacing="1"/>
              <w:rPr>
                <w:highlight w:val="cyan"/>
              </w:rPr>
            </w:pPr>
            <w:r w:rsidRPr="00105CFF">
              <w:rPr>
                <w:highlight w:val="cyan"/>
              </w:rPr>
              <w:t>3</w:t>
            </w:r>
          </w:p>
        </w:tc>
        <w:tc>
          <w:tcPr>
            <w:tcW w:w="0" w:type="auto"/>
            <w:vAlign w:val="center"/>
          </w:tcPr>
          <w:p w:rsidR="00CA75A1" w:rsidRDefault="00105CFF">
            <w:pPr>
              <w:spacing w:beforeAutospacing="1" w:afterAutospacing="1"/>
            </w:pPr>
            <w:r>
              <w:t>75%</w:t>
            </w:r>
          </w:p>
        </w:tc>
        <w:tc>
          <w:tcPr>
            <w:tcW w:w="0" w:type="auto"/>
            <w:vAlign w:val="center"/>
          </w:tcPr>
          <w:p w:rsidR="00CA75A1" w:rsidRDefault="00CA75A1">
            <w:pPr>
              <w:spacing w:beforeAutospacing="1" w:afterAutospacing="1"/>
            </w:pPr>
          </w:p>
        </w:tc>
        <w:tc>
          <w:tcPr>
            <w:tcW w:w="0" w:type="auto"/>
            <w:vAlign w:val="center"/>
          </w:tcPr>
          <w:p w:rsidR="00CA75A1" w:rsidRPr="003A41DB" w:rsidRDefault="00661836">
            <w:pPr>
              <w:spacing w:beforeAutospacing="1" w:afterAutospacing="1"/>
            </w:pPr>
            <w:r w:rsidRPr="00661836">
              <w:rPr>
                <w:color w:val="000000"/>
                <w:highlight w:val="yellow"/>
              </w:rPr>
              <w:t>0</w:t>
            </w:r>
          </w:p>
        </w:tc>
        <w:tc>
          <w:tcPr>
            <w:tcW w:w="581" w:type="dxa"/>
            <w:vAlign w:val="center"/>
          </w:tcPr>
          <w:p w:rsidR="00CA75A1" w:rsidRPr="003A41DB" w:rsidRDefault="00661836">
            <w:pPr>
              <w:spacing w:beforeAutospacing="1" w:afterAutospacing="1"/>
            </w:pPr>
            <w:r w:rsidRPr="00661836">
              <w:rPr>
                <w:color w:val="000000"/>
                <w:sz w:val="22"/>
                <w:highlight w:val="yellow"/>
              </w:rPr>
              <w:t>0</w:t>
            </w:r>
            <w:r w:rsidR="00CA75A1" w:rsidRPr="003A41DB">
              <w:rPr>
                <w:color w:val="000000"/>
                <w:sz w:val="22"/>
              </w:rPr>
              <w:t>%</w:t>
            </w:r>
          </w:p>
        </w:tc>
      </w:tr>
      <w:bookmarkEnd w:id="12"/>
      <w:tr w:rsidR="00CA75A1" w:rsidTr="003A41DB">
        <w:trPr>
          <w:cantSplit/>
        </w:trPr>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0" w:type="auto"/>
            <w:vAlign w:val="center"/>
          </w:tcPr>
          <w:p w:rsidR="00CA75A1" w:rsidRDefault="00CA75A1">
            <w:pPr>
              <w:spacing w:beforeAutospacing="1" w:afterAutospacing="1"/>
            </w:pPr>
          </w:p>
        </w:tc>
        <w:tc>
          <w:tcPr>
            <w:tcW w:w="581" w:type="dxa"/>
            <w:vAlign w:val="center"/>
          </w:tcPr>
          <w:p w:rsidR="00CA75A1" w:rsidRDefault="00CA75A1">
            <w:pPr>
              <w:spacing w:beforeAutospacing="1" w:afterAutospacing="1"/>
            </w:pPr>
          </w:p>
        </w:tc>
      </w:tr>
    </w:tbl>
    <w:bookmarkEnd w:id="6"/>
    <w:p w:rsidR="00361F25" w:rsidRDefault="00796AB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D1247D">
        <w:rPr>
          <w:rFonts w:asciiTheme="minorHAnsi" w:hAnsiTheme="minorHAnsi"/>
          <w:noProof/>
        </w:rPr>
        <w:t>1</w:t>
      </w:r>
      <w:r>
        <w:rPr>
          <w:rFonts w:asciiTheme="minorHAnsi" w:hAnsiTheme="minorHAnsi"/>
        </w:rPr>
        <w:fldChar w:fldCharType="end"/>
      </w:r>
      <w:r>
        <w:rPr>
          <w:rFonts w:asciiTheme="minorHAnsi" w:hAnsiTheme="minorHAnsi"/>
        </w:rPr>
        <w:t xml:space="preserve"> - Accomplishments – Program Year &amp; Strategic Plan to Date</w:t>
      </w:r>
    </w:p>
    <w:p w:rsidR="00361F25" w:rsidRDefault="00361F25"/>
    <w:p w:rsidR="00C92E42" w:rsidRDefault="00C92E42">
      <w:pPr>
        <w:keepNext/>
        <w:widowControl w:val="0"/>
        <w:rPr>
          <w:b/>
          <w:sz w:val="24"/>
          <w:szCs w:val="24"/>
        </w:rPr>
      </w:pPr>
    </w:p>
    <w:p w:rsidR="00C92E42" w:rsidRDefault="00C92E42">
      <w:pPr>
        <w:keepNext/>
        <w:widowControl w:val="0"/>
        <w:rPr>
          <w:b/>
          <w:sz w:val="24"/>
          <w:szCs w:val="24"/>
        </w:rPr>
      </w:pPr>
    </w:p>
    <w:p w:rsidR="00C92E42" w:rsidRDefault="00C92E42">
      <w:pPr>
        <w:keepNext/>
        <w:widowControl w:val="0"/>
        <w:rPr>
          <w:b/>
          <w:sz w:val="24"/>
          <w:szCs w:val="24"/>
        </w:rPr>
      </w:pPr>
    </w:p>
    <w:p w:rsidR="00C92E42" w:rsidRDefault="00C92E42">
      <w:pPr>
        <w:keepNext/>
        <w:widowControl w:val="0"/>
        <w:rPr>
          <w:b/>
          <w:sz w:val="24"/>
          <w:szCs w:val="24"/>
        </w:rPr>
      </w:pPr>
    </w:p>
    <w:p w:rsidR="00361F25" w:rsidRDefault="00796AB9">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rsidR="00361F25" w:rsidRDefault="00796AB9">
      <w:pPr>
        <w:keepNext/>
        <w:widowControl w:val="0"/>
        <w:spacing w:beforeAutospacing="1" w:afterAutospacing="1"/>
      </w:pPr>
      <w:r>
        <w:t>The City of Enid continues to implement the goals and objectives identified in the five-year consolidated plan to achieve development of a viable urban community.  The City’s CDBG</w:t>
      </w:r>
      <w:r w:rsidR="005E327D">
        <w:t xml:space="preserve"> entitlement allocation for 202</w:t>
      </w:r>
      <w:r w:rsidR="0048349E">
        <w:t>2</w:t>
      </w:r>
      <w:r>
        <w:t xml:space="preserve"> </w:t>
      </w:r>
      <w:r w:rsidRPr="00904533">
        <w:t>was $</w:t>
      </w:r>
      <w:r w:rsidR="0048349E">
        <w:t>454,486</w:t>
      </w:r>
      <w:r w:rsidR="00047FF3" w:rsidRPr="00904533">
        <w:t>.00</w:t>
      </w:r>
      <w:r w:rsidR="005E327D" w:rsidRPr="00904533">
        <w:t>.</w:t>
      </w:r>
      <w:r w:rsidR="005E327D" w:rsidRPr="00365F32">
        <w:t xml:space="preserve"> </w:t>
      </w:r>
      <w:r w:rsidR="005E327D">
        <w:t>In the 202</w:t>
      </w:r>
      <w:r w:rsidR="0048349E">
        <w:t>2</w:t>
      </w:r>
      <w:r>
        <w:t xml:space="preserve"> Action Plan, projects were chosen based upon citizen input, statistical data and consultation with </w:t>
      </w:r>
      <w:r w:rsidR="00B866F0">
        <w:t>community-based</w:t>
      </w:r>
      <w:r>
        <w:t xml:space="preserve"> organizations, state agencies and city departments.  The City identified </w:t>
      </w:r>
      <w:r w:rsidR="0048349E">
        <w:lastRenderedPageBreak/>
        <w:t>eleven</w:t>
      </w:r>
      <w:r>
        <w:t xml:space="preserve"> (1</w:t>
      </w:r>
      <w:r w:rsidR="0048349E">
        <w:t>1</w:t>
      </w:r>
      <w:r>
        <w:t>) projects total.  </w:t>
      </w:r>
    </w:p>
    <w:p w:rsidR="00587983" w:rsidRDefault="0048349E">
      <w:pPr>
        <w:keepNext/>
        <w:widowControl w:val="0"/>
        <w:spacing w:beforeAutospacing="1" w:afterAutospacing="1"/>
      </w:pPr>
      <w:r>
        <w:t>Four</w:t>
      </w:r>
      <w:r w:rsidR="00796AB9">
        <w:t xml:space="preserve"> public facilities improvement projects were selected for funding and identified as high</w:t>
      </w:r>
      <w:r w:rsidR="00B37AF7">
        <w:t>-</w:t>
      </w:r>
      <w:r w:rsidR="00796AB9">
        <w:t>priority needs in the community.  Those</w:t>
      </w:r>
      <w:r w:rsidR="00587983">
        <w:t xml:space="preserve"> agencies provide services to disabled persons</w:t>
      </w:r>
      <w:r w:rsidR="00796AB9">
        <w:t xml:space="preserve">, </w:t>
      </w:r>
      <w:r w:rsidR="00587983">
        <w:t xml:space="preserve">at-risk youth, and shelter for </w:t>
      </w:r>
      <w:r w:rsidR="00B37AF7">
        <w:t xml:space="preserve">the </w:t>
      </w:r>
      <w:r w:rsidR="00587983">
        <w:t>homeless, women</w:t>
      </w:r>
      <w:r w:rsidR="00B37AF7">
        <w:t xml:space="preserve"> victims of domestic violence, dating violence, sexual ass</w:t>
      </w:r>
      <w:r w:rsidR="00B9561B">
        <w:t>ault, and stalking</w:t>
      </w:r>
      <w:r w:rsidR="00B37AF7">
        <w:t>,</w:t>
      </w:r>
      <w:r w:rsidR="00587983">
        <w:t xml:space="preserve"> and children.</w:t>
      </w:r>
    </w:p>
    <w:p w:rsidR="00361F25" w:rsidRDefault="0048349E">
      <w:pPr>
        <w:keepNext/>
        <w:widowControl w:val="0"/>
        <w:spacing w:beforeAutospacing="1" w:afterAutospacing="1"/>
      </w:pPr>
      <w:r>
        <w:t xml:space="preserve">One </w:t>
      </w:r>
      <w:r w:rsidR="00796AB9">
        <w:t>Housing/Homeless prevention project</w:t>
      </w:r>
      <w:r>
        <w:t xml:space="preserve"> was</w:t>
      </w:r>
      <w:r w:rsidR="00796AB9">
        <w:t xml:space="preserve"> completed to provide emergency repairs and barrier removal for low-</w:t>
      </w:r>
      <w:r w:rsidR="00B37AF7">
        <w:t>to-</w:t>
      </w:r>
      <w:r w:rsidR="00796AB9">
        <w:t>moderate income beneficiaries to prevent homelessness.  The households utilizing the program are able to remain in their homes because it is no longer a health and safety issue to remain in their homes</w:t>
      </w:r>
      <w:r w:rsidR="00587983">
        <w:t xml:space="preserve"> and Americans with Disabilities Act (ADA) barriers are removed</w:t>
      </w:r>
      <w:r w:rsidR="00796AB9">
        <w:t>. </w:t>
      </w:r>
    </w:p>
    <w:p w:rsidR="00361F25" w:rsidRDefault="00796AB9">
      <w:pPr>
        <w:keepNext/>
        <w:widowControl w:val="0"/>
        <w:spacing w:beforeAutospacing="1" w:afterAutospacing="1"/>
      </w:pPr>
      <w:r>
        <w:t>One economic development project provided assi</w:t>
      </w:r>
      <w:r w:rsidR="00B37AF7">
        <w:t>s</w:t>
      </w:r>
      <w:r>
        <w:t xml:space="preserve">tance to </w:t>
      </w:r>
      <w:r w:rsidR="006F383A">
        <w:t>two</w:t>
      </w:r>
      <w:r>
        <w:t xml:space="preserve"> microenterprise business</w:t>
      </w:r>
      <w:r w:rsidR="002D0804">
        <w:t>es</w:t>
      </w:r>
      <w:r>
        <w:t xml:space="preserve"> to retain jobs.  </w:t>
      </w:r>
    </w:p>
    <w:p w:rsidR="00361F25" w:rsidRDefault="0048349E">
      <w:pPr>
        <w:keepNext/>
        <w:widowControl w:val="0"/>
        <w:spacing w:beforeAutospacing="1" w:afterAutospacing="1"/>
      </w:pPr>
      <w:r>
        <w:t>Five</w:t>
      </w:r>
      <w:r w:rsidR="00796AB9">
        <w:t xml:space="preserve"> public service activities </w:t>
      </w:r>
      <w:r w:rsidR="00B37AF7">
        <w:t xml:space="preserve">were funding including </w:t>
      </w:r>
      <w:r>
        <w:t xml:space="preserve">one senior program and four </w:t>
      </w:r>
      <w:r w:rsidR="00796AB9">
        <w:t>youth services projects to provide services to at</w:t>
      </w:r>
      <w:r w:rsidR="00B37AF7">
        <w:t>-</w:t>
      </w:r>
      <w:r w:rsidR="00796AB9">
        <w:t>risk</w:t>
      </w:r>
      <w:r w:rsidR="00B37AF7">
        <w:t xml:space="preserve"> </w:t>
      </w:r>
      <w:r w:rsidR="00796AB9">
        <w:t>and homeless</w:t>
      </w:r>
      <w:r w:rsidR="00B37AF7">
        <w:t>-</w:t>
      </w:r>
      <w:r w:rsidR="00796AB9">
        <w:t>unsheltered youth</w:t>
      </w:r>
      <w:r w:rsidR="00B37AF7">
        <w:t xml:space="preserve"> in the community</w:t>
      </w:r>
      <w:r w:rsidR="00796AB9">
        <w:t xml:space="preserve">.  </w:t>
      </w:r>
    </w:p>
    <w:p w:rsidR="00361F25" w:rsidRDefault="00796AB9">
      <w:pPr>
        <w:keepNext/>
        <w:widowControl w:val="0"/>
        <w:spacing w:beforeAutospacing="1" w:afterAutospacing="1"/>
      </w:pPr>
      <w:r>
        <w:t>The City of Enid gives special attention to the highest priortiy activities identified by its stakeholders.  The City of Enid gives projects that fall into the hig</w:t>
      </w:r>
      <w:r w:rsidR="00B37AF7">
        <w:t>h-</w:t>
      </w:r>
      <w:r>
        <w:t>priority category more points than those that rank lower.  </w:t>
      </w:r>
    </w:p>
    <w:p w:rsidR="00361F25" w:rsidRDefault="00361F25">
      <w:pPr>
        <w:keepNext/>
        <w:widowControl w:val="0"/>
        <w:spacing w:beforeAutospacing="1" w:afterAutospacing="1"/>
      </w:pPr>
    </w:p>
    <w:p w:rsidR="00361F25" w:rsidRDefault="00361F25">
      <w:pPr>
        <w:keepNext/>
        <w:widowControl w:val="0"/>
        <w:spacing w:beforeAutospacing="1" w:afterAutospacing="1"/>
      </w:pPr>
    </w:p>
    <w:p w:rsidR="00361F25" w:rsidRDefault="00361F25">
      <w:pPr>
        <w:keepNext/>
        <w:widowControl w:val="0"/>
        <w:spacing w:line="204" w:lineRule="auto"/>
        <w:rPr>
          <w:b/>
          <w:sz w:val="24"/>
          <w:szCs w:val="24"/>
        </w:rPr>
      </w:pPr>
    </w:p>
    <w:p w:rsidR="00361F25" w:rsidRDefault="00361F25">
      <w:pPr>
        <w:rPr>
          <w:b/>
          <w:i/>
          <w:sz w:val="26"/>
          <w:szCs w:val="26"/>
        </w:rPr>
        <w:sectPr w:rsidR="00361F25" w:rsidSect="00C92E42">
          <w:pgSz w:w="15840" w:h="12240" w:orient="landscape"/>
          <w:pgMar w:top="1440" w:right="1440" w:bottom="1440" w:left="1440" w:header="720" w:footer="720" w:gutter="0"/>
          <w:cols w:space="720"/>
          <w:docGrid w:linePitch="360"/>
        </w:sectPr>
      </w:pPr>
    </w:p>
    <w:p w:rsidR="00361F25" w:rsidRDefault="00796AB9">
      <w:pPr>
        <w:pStyle w:val="Heading2"/>
        <w:rPr>
          <w:rFonts w:asciiTheme="minorHAnsi" w:hAnsiTheme="minorHAnsi"/>
          <w:i w:val="0"/>
        </w:rPr>
      </w:pPr>
      <w:bookmarkStart w:id="13" w:name="_Toc309810474"/>
      <w:bookmarkStart w:id="14" w:name="_Toc143516185"/>
      <w:r>
        <w:rPr>
          <w:rFonts w:asciiTheme="minorHAnsi" w:hAnsiTheme="minorHAnsi"/>
          <w:i w:val="0"/>
        </w:rPr>
        <w:lastRenderedPageBreak/>
        <w:t xml:space="preserve">CR-10 - </w:t>
      </w:r>
      <w:r w:rsidRPr="00534FE7">
        <w:rPr>
          <w:rFonts w:asciiTheme="minorHAnsi" w:hAnsiTheme="minorHAnsi"/>
          <w:i w:val="0"/>
        </w:rPr>
        <w:t>Racial and Ethnic</w:t>
      </w:r>
      <w:r>
        <w:rPr>
          <w:rFonts w:asciiTheme="minorHAnsi" w:hAnsiTheme="minorHAnsi"/>
          <w:i w:val="0"/>
        </w:rPr>
        <w:t xml:space="preserve"> composition of families assisted</w:t>
      </w:r>
      <w:bookmarkEnd w:id="14"/>
    </w:p>
    <w:p w:rsidR="00361F25" w:rsidRDefault="00796AB9">
      <w:pPr>
        <w:keepNext/>
        <w:widowControl w:val="0"/>
        <w:rPr>
          <w:b/>
          <w:sz w:val="24"/>
          <w:szCs w:val="24"/>
        </w:rPr>
      </w:pPr>
      <w:r>
        <w:rPr>
          <w:b/>
          <w:sz w:val="24"/>
          <w:szCs w:val="24"/>
        </w:rPr>
        <w:t xml:space="preserve">Describe the families assisted (including the racial and ethnic status of families assisted). 91.520(a) </w:t>
      </w:r>
    </w:p>
    <w:p w:rsidR="00361F25" w:rsidRDefault="00361F25">
      <w:pPr>
        <w:widowControl w:val="0"/>
        <w:rPr>
          <w:b/>
          <w:vanish/>
          <w:sz w:val="24"/>
          <w:szCs w:val="24"/>
        </w:rPr>
      </w:pPr>
    </w:p>
    <w:tbl>
      <w:tblPr>
        <w:tblW w:w="333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tblGrid>
      <w:tr w:rsidR="00361F25">
        <w:trPr>
          <w:cantSplit/>
          <w:hidden/>
        </w:trPr>
        <w:tc>
          <w:tcPr>
            <w:tcW w:w="3773" w:type="pct"/>
          </w:tcPr>
          <w:p w:rsidR="00361F25" w:rsidRDefault="00361F25">
            <w:pPr>
              <w:widowControl w:val="0"/>
              <w:rPr>
                <w:vanish/>
              </w:rPr>
            </w:pPr>
          </w:p>
        </w:tc>
        <w:tc>
          <w:tcPr>
            <w:tcW w:w="1226" w:type="pct"/>
          </w:tcPr>
          <w:p w:rsidR="00361F25" w:rsidRDefault="00796AB9">
            <w:pPr>
              <w:jc w:val="center"/>
              <w:rPr>
                <w:b/>
              </w:rPr>
            </w:pPr>
            <w:r>
              <w:rPr>
                <w:b/>
              </w:rPr>
              <w:t>CDBG</w:t>
            </w:r>
          </w:p>
        </w:tc>
      </w:tr>
      <w:tr w:rsidR="00361F25">
        <w:trPr>
          <w:cantSplit/>
        </w:trPr>
        <w:tc>
          <w:tcPr>
            <w:tcW w:w="4823" w:type="dxa"/>
            <w:vAlign w:val="bottom"/>
          </w:tcPr>
          <w:p w:rsidR="00361F25" w:rsidRDefault="00796AB9">
            <w:pPr>
              <w:spacing w:beforeAutospacing="1" w:afterAutospacing="1"/>
            </w:pPr>
            <w:r>
              <w:rPr>
                <w:color w:val="000000"/>
              </w:rPr>
              <w:t>White</w:t>
            </w:r>
          </w:p>
        </w:tc>
        <w:tc>
          <w:tcPr>
            <w:tcW w:w="1568" w:type="dxa"/>
            <w:vAlign w:val="bottom"/>
          </w:tcPr>
          <w:p w:rsidR="00361F25" w:rsidRDefault="00E8045A">
            <w:pPr>
              <w:spacing w:beforeAutospacing="1" w:afterAutospacing="1"/>
              <w:jc w:val="right"/>
            </w:pPr>
            <w:r>
              <w:t>7,028</w:t>
            </w:r>
          </w:p>
        </w:tc>
      </w:tr>
      <w:tr w:rsidR="00361F25">
        <w:trPr>
          <w:cantSplit/>
        </w:trPr>
        <w:tc>
          <w:tcPr>
            <w:tcW w:w="4823" w:type="dxa"/>
            <w:vAlign w:val="bottom"/>
          </w:tcPr>
          <w:p w:rsidR="00361F25" w:rsidRDefault="00796AB9">
            <w:pPr>
              <w:spacing w:beforeAutospacing="1" w:afterAutospacing="1"/>
            </w:pPr>
            <w:r>
              <w:rPr>
                <w:color w:val="000000"/>
              </w:rPr>
              <w:t>Black or African American</w:t>
            </w:r>
          </w:p>
        </w:tc>
        <w:tc>
          <w:tcPr>
            <w:tcW w:w="1568" w:type="dxa"/>
            <w:vAlign w:val="bottom"/>
          </w:tcPr>
          <w:p w:rsidR="00361F25" w:rsidRDefault="00FB2BA7">
            <w:pPr>
              <w:spacing w:beforeAutospacing="1" w:afterAutospacing="1"/>
              <w:jc w:val="right"/>
            </w:pPr>
            <w:r>
              <w:rPr>
                <w:color w:val="000000"/>
              </w:rPr>
              <w:t>7</w:t>
            </w:r>
            <w:r w:rsidR="00534FE7">
              <w:rPr>
                <w:color w:val="000000"/>
              </w:rPr>
              <w:t>62</w:t>
            </w:r>
          </w:p>
        </w:tc>
      </w:tr>
      <w:tr w:rsidR="00361F25">
        <w:trPr>
          <w:cantSplit/>
        </w:trPr>
        <w:tc>
          <w:tcPr>
            <w:tcW w:w="4823" w:type="dxa"/>
            <w:vAlign w:val="bottom"/>
          </w:tcPr>
          <w:p w:rsidR="00361F25" w:rsidRDefault="00796AB9">
            <w:pPr>
              <w:spacing w:beforeAutospacing="1" w:afterAutospacing="1"/>
            </w:pPr>
            <w:r>
              <w:rPr>
                <w:color w:val="000000"/>
              </w:rPr>
              <w:t>Asian</w:t>
            </w:r>
          </w:p>
        </w:tc>
        <w:tc>
          <w:tcPr>
            <w:tcW w:w="1568" w:type="dxa"/>
            <w:vAlign w:val="bottom"/>
          </w:tcPr>
          <w:p w:rsidR="00361F25" w:rsidRDefault="00642C18">
            <w:pPr>
              <w:spacing w:beforeAutospacing="1" w:afterAutospacing="1"/>
              <w:jc w:val="right"/>
            </w:pPr>
            <w:r>
              <w:rPr>
                <w:color w:val="000000"/>
              </w:rPr>
              <w:t>28</w:t>
            </w:r>
          </w:p>
        </w:tc>
      </w:tr>
      <w:tr w:rsidR="00361F25">
        <w:trPr>
          <w:cantSplit/>
        </w:trPr>
        <w:tc>
          <w:tcPr>
            <w:tcW w:w="4823" w:type="dxa"/>
            <w:vAlign w:val="bottom"/>
          </w:tcPr>
          <w:p w:rsidR="00361F25" w:rsidRDefault="00796AB9">
            <w:pPr>
              <w:spacing w:beforeAutospacing="1" w:afterAutospacing="1"/>
            </w:pPr>
            <w:r>
              <w:rPr>
                <w:color w:val="000000"/>
              </w:rPr>
              <w:t>American Indian or American Native</w:t>
            </w:r>
          </w:p>
        </w:tc>
        <w:tc>
          <w:tcPr>
            <w:tcW w:w="1568" w:type="dxa"/>
            <w:vAlign w:val="bottom"/>
          </w:tcPr>
          <w:p w:rsidR="00361F25" w:rsidRDefault="00FB2BA7">
            <w:pPr>
              <w:spacing w:beforeAutospacing="1" w:afterAutospacing="1"/>
              <w:jc w:val="right"/>
            </w:pPr>
            <w:r>
              <w:rPr>
                <w:color w:val="000000"/>
              </w:rPr>
              <w:t>1</w:t>
            </w:r>
            <w:r w:rsidR="00534FE7">
              <w:rPr>
                <w:color w:val="000000"/>
              </w:rPr>
              <w:t>87</w:t>
            </w:r>
          </w:p>
        </w:tc>
      </w:tr>
      <w:tr w:rsidR="00361F25">
        <w:trPr>
          <w:cantSplit/>
        </w:trPr>
        <w:tc>
          <w:tcPr>
            <w:tcW w:w="4823" w:type="dxa"/>
            <w:vAlign w:val="bottom"/>
          </w:tcPr>
          <w:p w:rsidR="00361F25" w:rsidRDefault="00796AB9">
            <w:pPr>
              <w:spacing w:beforeAutospacing="1" w:afterAutospacing="1"/>
            </w:pPr>
            <w:r>
              <w:rPr>
                <w:color w:val="000000"/>
              </w:rPr>
              <w:t>Native Hawaiian or Other Pacific Islander</w:t>
            </w:r>
          </w:p>
        </w:tc>
        <w:tc>
          <w:tcPr>
            <w:tcW w:w="1568" w:type="dxa"/>
            <w:vAlign w:val="bottom"/>
          </w:tcPr>
          <w:p w:rsidR="00361F25" w:rsidRDefault="00FB2BA7">
            <w:pPr>
              <w:spacing w:beforeAutospacing="1" w:afterAutospacing="1"/>
              <w:jc w:val="right"/>
            </w:pPr>
            <w:r>
              <w:rPr>
                <w:color w:val="000000"/>
              </w:rPr>
              <w:t>821</w:t>
            </w:r>
          </w:p>
        </w:tc>
      </w:tr>
      <w:tr w:rsidR="00642C18">
        <w:trPr>
          <w:cantSplit/>
        </w:trPr>
        <w:tc>
          <w:tcPr>
            <w:tcW w:w="4823" w:type="dxa"/>
            <w:vAlign w:val="bottom"/>
          </w:tcPr>
          <w:p w:rsidR="00642C18" w:rsidRDefault="00642C18">
            <w:pPr>
              <w:spacing w:beforeAutospacing="1" w:afterAutospacing="1"/>
              <w:rPr>
                <w:color w:val="000000"/>
              </w:rPr>
            </w:pPr>
            <w:r>
              <w:rPr>
                <w:color w:val="000000"/>
              </w:rPr>
              <w:t>American Indian/Alaskan Native &amp; White</w:t>
            </w:r>
          </w:p>
        </w:tc>
        <w:tc>
          <w:tcPr>
            <w:tcW w:w="1568" w:type="dxa"/>
            <w:vAlign w:val="bottom"/>
          </w:tcPr>
          <w:p w:rsidR="00642C18" w:rsidRDefault="00FB2BA7">
            <w:pPr>
              <w:spacing w:beforeAutospacing="1" w:afterAutospacing="1"/>
              <w:jc w:val="right"/>
              <w:rPr>
                <w:color w:val="000000"/>
              </w:rPr>
            </w:pPr>
            <w:r>
              <w:rPr>
                <w:color w:val="000000"/>
              </w:rPr>
              <w:t>95</w:t>
            </w:r>
          </w:p>
        </w:tc>
      </w:tr>
      <w:tr w:rsidR="00642C18">
        <w:trPr>
          <w:cantSplit/>
        </w:trPr>
        <w:tc>
          <w:tcPr>
            <w:tcW w:w="4823" w:type="dxa"/>
            <w:vAlign w:val="bottom"/>
          </w:tcPr>
          <w:p w:rsidR="00642C18" w:rsidRDefault="00642C18">
            <w:pPr>
              <w:spacing w:beforeAutospacing="1" w:afterAutospacing="1"/>
              <w:rPr>
                <w:color w:val="000000"/>
              </w:rPr>
            </w:pPr>
            <w:r>
              <w:rPr>
                <w:color w:val="000000"/>
              </w:rPr>
              <w:t>Asian &amp; White</w:t>
            </w:r>
          </w:p>
        </w:tc>
        <w:tc>
          <w:tcPr>
            <w:tcW w:w="1568" w:type="dxa"/>
            <w:vAlign w:val="bottom"/>
          </w:tcPr>
          <w:p w:rsidR="00642C18" w:rsidRDefault="00FB2BA7">
            <w:pPr>
              <w:spacing w:beforeAutospacing="1" w:afterAutospacing="1"/>
              <w:jc w:val="right"/>
              <w:rPr>
                <w:color w:val="000000"/>
              </w:rPr>
            </w:pPr>
            <w:r>
              <w:rPr>
                <w:color w:val="000000"/>
              </w:rPr>
              <w:t>26</w:t>
            </w:r>
          </w:p>
        </w:tc>
      </w:tr>
      <w:tr w:rsidR="00642C18">
        <w:trPr>
          <w:cantSplit/>
        </w:trPr>
        <w:tc>
          <w:tcPr>
            <w:tcW w:w="4823" w:type="dxa"/>
            <w:vAlign w:val="bottom"/>
          </w:tcPr>
          <w:p w:rsidR="00642C18" w:rsidRDefault="00642C18">
            <w:pPr>
              <w:spacing w:beforeAutospacing="1" w:afterAutospacing="1"/>
              <w:rPr>
                <w:color w:val="000000"/>
              </w:rPr>
            </w:pPr>
            <w:r>
              <w:rPr>
                <w:color w:val="000000"/>
              </w:rPr>
              <w:t>Black/African American &amp; White</w:t>
            </w:r>
          </w:p>
        </w:tc>
        <w:tc>
          <w:tcPr>
            <w:tcW w:w="1568" w:type="dxa"/>
            <w:vAlign w:val="bottom"/>
          </w:tcPr>
          <w:p w:rsidR="00642C18" w:rsidRDefault="00642C18">
            <w:pPr>
              <w:spacing w:beforeAutospacing="1" w:afterAutospacing="1"/>
              <w:jc w:val="right"/>
              <w:rPr>
                <w:color w:val="000000"/>
              </w:rPr>
            </w:pPr>
            <w:r>
              <w:rPr>
                <w:color w:val="000000"/>
              </w:rPr>
              <w:t>2</w:t>
            </w:r>
            <w:r w:rsidR="00FB2BA7">
              <w:rPr>
                <w:color w:val="000000"/>
              </w:rPr>
              <w:t>4</w:t>
            </w:r>
            <w:r w:rsidR="00534FE7">
              <w:rPr>
                <w:color w:val="000000"/>
              </w:rPr>
              <w:t>9</w:t>
            </w:r>
          </w:p>
        </w:tc>
      </w:tr>
      <w:tr w:rsidR="00642C18">
        <w:trPr>
          <w:cantSplit/>
        </w:trPr>
        <w:tc>
          <w:tcPr>
            <w:tcW w:w="4823" w:type="dxa"/>
            <w:vAlign w:val="bottom"/>
          </w:tcPr>
          <w:p w:rsidR="00642C18" w:rsidRDefault="00642C18">
            <w:pPr>
              <w:spacing w:beforeAutospacing="1" w:afterAutospacing="1"/>
              <w:rPr>
                <w:color w:val="000000"/>
              </w:rPr>
            </w:pPr>
            <w:r>
              <w:rPr>
                <w:color w:val="000000"/>
              </w:rPr>
              <w:t>Amer. Indian/Alaskan Native&amp;Black/African Amer</w:t>
            </w:r>
          </w:p>
        </w:tc>
        <w:tc>
          <w:tcPr>
            <w:tcW w:w="1568" w:type="dxa"/>
            <w:vAlign w:val="bottom"/>
          </w:tcPr>
          <w:p w:rsidR="00642C18" w:rsidRDefault="00642C18">
            <w:pPr>
              <w:spacing w:beforeAutospacing="1" w:afterAutospacing="1"/>
              <w:jc w:val="right"/>
              <w:rPr>
                <w:color w:val="000000"/>
              </w:rPr>
            </w:pPr>
            <w:r>
              <w:rPr>
                <w:color w:val="000000"/>
              </w:rPr>
              <w:t>12</w:t>
            </w:r>
          </w:p>
        </w:tc>
      </w:tr>
      <w:tr w:rsidR="00642C18">
        <w:trPr>
          <w:cantSplit/>
        </w:trPr>
        <w:tc>
          <w:tcPr>
            <w:tcW w:w="4823" w:type="dxa"/>
            <w:vAlign w:val="bottom"/>
          </w:tcPr>
          <w:p w:rsidR="00642C18" w:rsidRDefault="00642C18">
            <w:pPr>
              <w:spacing w:beforeAutospacing="1" w:afterAutospacing="1"/>
              <w:rPr>
                <w:color w:val="000000"/>
              </w:rPr>
            </w:pPr>
            <w:r>
              <w:rPr>
                <w:color w:val="000000"/>
              </w:rPr>
              <w:t>Other multi-racial</w:t>
            </w:r>
          </w:p>
        </w:tc>
        <w:tc>
          <w:tcPr>
            <w:tcW w:w="1568" w:type="dxa"/>
            <w:vAlign w:val="bottom"/>
          </w:tcPr>
          <w:p w:rsidR="00642C18" w:rsidRDefault="00FB2BA7">
            <w:pPr>
              <w:spacing w:beforeAutospacing="1" w:afterAutospacing="1"/>
              <w:jc w:val="right"/>
              <w:rPr>
                <w:color w:val="000000"/>
              </w:rPr>
            </w:pPr>
            <w:r>
              <w:rPr>
                <w:color w:val="000000"/>
              </w:rPr>
              <w:t>976</w:t>
            </w:r>
          </w:p>
        </w:tc>
      </w:tr>
    </w:tbl>
    <w:p w:rsidR="00361F25" w:rsidRDefault="00361F25">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361F25">
        <w:trPr>
          <w:cantSplit/>
          <w:hidden/>
        </w:trPr>
        <w:tc>
          <w:tcPr>
            <w:tcW w:w="3761" w:type="pct"/>
          </w:tcPr>
          <w:p w:rsidR="00361F25" w:rsidRDefault="00361F25">
            <w:pPr>
              <w:widowControl w:val="0"/>
              <w:rPr>
                <w:vanish/>
              </w:rPr>
            </w:pPr>
          </w:p>
        </w:tc>
        <w:tc>
          <w:tcPr>
            <w:tcW w:w="1239" w:type="pct"/>
            <w:gridSpan w:val="2"/>
          </w:tcPr>
          <w:p w:rsidR="00361F25" w:rsidRDefault="00361F25">
            <w:pPr>
              <w:widowControl w:val="0"/>
              <w:jc w:val="center"/>
              <w:rPr>
                <w:b/>
                <w:vanish/>
              </w:rPr>
            </w:pPr>
          </w:p>
        </w:tc>
      </w:tr>
      <w:tr w:rsidR="00361F25">
        <w:trPr>
          <w:gridAfter w:val="1"/>
          <w:wAfter w:w="21" w:type="dxa"/>
          <w:cantSplit/>
        </w:trPr>
        <w:tc>
          <w:tcPr>
            <w:tcW w:w="4823" w:type="dxa"/>
            <w:vAlign w:val="bottom"/>
          </w:tcPr>
          <w:p w:rsidR="00361F25" w:rsidRDefault="00796AB9">
            <w:pPr>
              <w:spacing w:beforeAutospacing="1" w:afterAutospacing="1"/>
            </w:pPr>
            <w:r>
              <w:rPr>
                <w:b/>
                <w:color w:val="000000"/>
              </w:rPr>
              <w:t>Total</w:t>
            </w:r>
          </w:p>
        </w:tc>
        <w:tc>
          <w:tcPr>
            <w:tcW w:w="1568" w:type="dxa"/>
            <w:vAlign w:val="bottom"/>
          </w:tcPr>
          <w:p w:rsidR="00361F25" w:rsidRDefault="00642C18">
            <w:pPr>
              <w:spacing w:beforeAutospacing="1" w:afterAutospacing="1"/>
              <w:jc w:val="right"/>
            </w:pPr>
            <w:r>
              <w:rPr>
                <w:b/>
                <w:color w:val="000000"/>
              </w:rPr>
              <w:t>1</w:t>
            </w:r>
            <w:r w:rsidR="00FB2BA7">
              <w:rPr>
                <w:b/>
                <w:color w:val="000000"/>
              </w:rPr>
              <w:t>0,</w:t>
            </w:r>
            <w:r w:rsidR="00534FE7">
              <w:rPr>
                <w:b/>
                <w:color w:val="000000"/>
              </w:rPr>
              <w:t>184</w:t>
            </w:r>
          </w:p>
        </w:tc>
      </w:tr>
    </w:tbl>
    <w:p w:rsidR="00361F25" w:rsidRDefault="00361F25">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361F25">
        <w:trPr>
          <w:cantSplit/>
          <w:hidden/>
        </w:trPr>
        <w:tc>
          <w:tcPr>
            <w:tcW w:w="3761" w:type="pct"/>
          </w:tcPr>
          <w:p w:rsidR="00361F25" w:rsidRDefault="00361F25">
            <w:pPr>
              <w:widowControl w:val="0"/>
              <w:rPr>
                <w:vanish/>
              </w:rPr>
            </w:pPr>
          </w:p>
        </w:tc>
        <w:tc>
          <w:tcPr>
            <w:tcW w:w="1239" w:type="pct"/>
            <w:gridSpan w:val="2"/>
          </w:tcPr>
          <w:p w:rsidR="00361F25" w:rsidRDefault="00361F25">
            <w:pPr>
              <w:widowControl w:val="0"/>
              <w:jc w:val="center"/>
              <w:rPr>
                <w:b/>
                <w:vanish/>
              </w:rPr>
            </w:pPr>
          </w:p>
        </w:tc>
      </w:tr>
      <w:tr w:rsidR="00361F25">
        <w:trPr>
          <w:gridAfter w:val="1"/>
          <w:wAfter w:w="21" w:type="dxa"/>
          <w:cantSplit/>
        </w:trPr>
        <w:tc>
          <w:tcPr>
            <w:tcW w:w="4823" w:type="dxa"/>
            <w:vAlign w:val="bottom"/>
          </w:tcPr>
          <w:p w:rsidR="00361F25" w:rsidRDefault="00796AB9">
            <w:pPr>
              <w:spacing w:beforeAutospacing="1" w:afterAutospacing="1"/>
            </w:pPr>
            <w:r>
              <w:rPr>
                <w:color w:val="000000"/>
              </w:rPr>
              <w:t>Hispanic</w:t>
            </w:r>
          </w:p>
        </w:tc>
        <w:tc>
          <w:tcPr>
            <w:tcW w:w="1568" w:type="dxa"/>
            <w:vAlign w:val="bottom"/>
          </w:tcPr>
          <w:p w:rsidR="00361F25" w:rsidRDefault="00534FE7">
            <w:pPr>
              <w:spacing w:beforeAutospacing="1" w:afterAutospacing="1"/>
              <w:jc w:val="right"/>
            </w:pPr>
            <w:r>
              <w:t>882</w:t>
            </w:r>
          </w:p>
        </w:tc>
      </w:tr>
      <w:tr w:rsidR="00361F25">
        <w:trPr>
          <w:gridAfter w:val="1"/>
          <w:wAfter w:w="21" w:type="dxa"/>
          <w:cantSplit/>
        </w:trPr>
        <w:tc>
          <w:tcPr>
            <w:tcW w:w="4823" w:type="dxa"/>
            <w:vAlign w:val="bottom"/>
          </w:tcPr>
          <w:p w:rsidR="00361F25" w:rsidRDefault="00796AB9">
            <w:pPr>
              <w:spacing w:beforeAutospacing="1" w:afterAutospacing="1"/>
            </w:pPr>
            <w:r>
              <w:rPr>
                <w:color w:val="000000"/>
              </w:rPr>
              <w:t>Not Hispanic</w:t>
            </w:r>
          </w:p>
        </w:tc>
        <w:tc>
          <w:tcPr>
            <w:tcW w:w="1568" w:type="dxa"/>
            <w:vAlign w:val="bottom"/>
          </w:tcPr>
          <w:p w:rsidR="00361F25" w:rsidRDefault="00FB2BA7">
            <w:pPr>
              <w:spacing w:beforeAutospacing="1" w:afterAutospacing="1"/>
              <w:jc w:val="right"/>
            </w:pPr>
            <w:r>
              <w:rPr>
                <w:color w:val="000000"/>
              </w:rPr>
              <w:t>9,</w:t>
            </w:r>
            <w:r w:rsidR="00534FE7">
              <w:rPr>
                <w:color w:val="000000"/>
              </w:rPr>
              <w:t>302</w:t>
            </w:r>
          </w:p>
        </w:tc>
      </w:tr>
    </w:tbl>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keepNext/>
        <w:widowControl w:val="0"/>
        <w:rPr>
          <w:b/>
          <w:vanish/>
          <w:sz w:val="24"/>
          <w:szCs w:val="24"/>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361F25">
      <w:pPr>
        <w:pStyle w:val="NoSpacing"/>
        <w:rPr>
          <w:vanish/>
        </w:rPr>
      </w:pPr>
    </w:p>
    <w:p w:rsidR="00361F25" w:rsidRDefault="00796AB9">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sidR="00D1247D">
        <w:rPr>
          <w:rFonts w:asciiTheme="minorHAnsi" w:hAnsiTheme="minorHAnsi"/>
          <w:b/>
          <w:noProof/>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rsidR="00361F25" w:rsidRDefault="00361F25">
      <w:pPr>
        <w:widowControl w:val="0"/>
        <w:rPr>
          <w:b/>
          <w:sz w:val="24"/>
          <w:szCs w:val="24"/>
        </w:rPr>
      </w:pPr>
    </w:p>
    <w:p w:rsidR="00361F25" w:rsidRDefault="00796AB9">
      <w:pPr>
        <w:widowControl w:val="0"/>
        <w:rPr>
          <w:b/>
          <w:sz w:val="24"/>
          <w:szCs w:val="24"/>
        </w:rPr>
      </w:pPr>
      <w:r>
        <w:rPr>
          <w:b/>
          <w:sz w:val="24"/>
          <w:szCs w:val="24"/>
        </w:rPr>
        <w:t>Narrative</w:t>
      </w:r>
    </w:p>
    <w:p w:rsidR="00361F25" w:rsidRDefault="00796AB9">
      <w:pPr>
        <w:widowControl w:val="0"/>
        <w:spacing w:beforeAutospacing="1" w:afterAutospacing="1"/>
      </w:pPr>
      <w:r>
        <w:t>The number of recip</w:t>
      </w:r>
      <w:r w:rsidR="00B866F0">
        <w:t>ie</w:t>
      </w:r>
      <w:r>
        <w:t>nts, their race and ethnicity does not play a role in whet</w:t>
      </w:r>
      <w:r w:rsidR="006873B3">
        <w:t>h</w:t>
      </w:r>
      <w:r>
        <w:t xml:space="preserve">er or not they are eligible to recieve assistance through CDBG funded programs.  The sole determining factor </w:t>
      </w:r>
      <w:r w:rsidR="00B9561B">
        <w:t xml:space="preserve">for </w:t>
      </w:r>
      <w:r w:rsidR="006E7007">
        <w:t>eligibility</w:t>
      </w:r>
      <w:r w:rsidR="00B9561B">
        <w:t xml:space="preserve"> </w:t>
      </w:r>
      <w:r>
        <w:t>is income.  All races and ethnicities listed in the table above were income eligible for the programs that rec</w:t>
      </w:r>
      <w:r w:rsidR="00B9561B">
        <w:t>ei</w:t>
      </w:r>
      <w:r>
        <w:t xml:space="preserve">ved CDBG funding. </w:t>
      </w:r>
    </w:p>
    <w:p w:rsidR="00361F25" w:rsidRDefault="00361F25">
      <w:pPr>
        <w:widowControl w:val="0"/>
      </w:pPr>
    </w:p>
    <w:p w:rsidR="00361F25" w:rsidRDefault="00361F25">
      <w:pPr>
        <w:sectPr w:rsidR="00361F25">
          <w:pgSz w:w="12240" w:h="15840" w:code="1"/>
          <w:pgMar w:top="1440" w:right="1440" w:bottom="1440" w:left="1440" w:header="720" w:footer="720" w:gutter="0"/>
          <w:cols w:space="720"/>
          <w:docGrid w:linePitch="360"/>
        </w:sectPr>
      </w:pPr>
    </w:p>
    <w:p w:rsidR="00361F25" w:rsidRDefault="00796AB9">
      <w:pPr>
        <w:pStyle w:val="Heading2"/>
        <w:rPr>
          <w:rFonts w:ascii="Calibri" w:hAnsi="Calibri"/>
          <w:i w:val="0"/>
        </w:rPr>
      </w:pPr>
      <w:bookmarkStart w:id="15" w:name="_Toc143516186"/>
      <w:bookmarkEnd w:id="13"/>
      <w:r>
        <w:rPr>
          <w:rFonts w:ascii="Calibri" w:hAnsi="Calibri"/>
          <w:i w:val="0"/>
        </w:rPr>
        <w:lastRenderedPageBreak/>
        <w:t>CR-15 - Resources and Investments 91.520(a)</w:t>
      </w:r>
      <w:bookmarkEnd w:id="15"/>
    </w:p>
    <w:p w:rsidR="00361F25" w:rsidRDefault="00796AB9">
      <w:pPr>
        <w:keepNext/>
        <w:widowControl w:val="0"/>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29"/>
        <w:gridCol w:w="2345"/>
        <w:gridCol w:w="2345"/>
      </w:tblGrid>
      <w:tr w:rsidR="00361F25">
        <w:trPr>
          <w:cantSplit/>
        </w:trPr>
        <w:tc>
          <w:tcPr>
            <w:tcW w:w="2394" w:type="dxa"/>
          </w:tcPr>
          <w:p w:rsidR="00361F25" w:rsidRDefault="00796AB9">
            <w:pPr>
              <w:keepNext/>
              <w:widowControl w:val="0"/>
              <w:jc w:val="center"/>
              <w:rPr>
                <w:rFonts w:cs="Arial"/>
                <w:b/>
              </w:rPr>
            </w:pPr>
            <w:r>
              <w:rPr>
                <w:rFonts w:cs="Arial"/>
                <w:b/>
              </w:rPr>
              <w:t>Source of Funds</w:t>
            </w:r>
          </w:p>
        </w:tc>
        <w:tc>
          <w:tcPr>
            <w:tcW w:w="2394" w:type="dxa"/>
          </w:tcPr>
          <w:p w:rsidR="00361F25" w:rsidRDefault="00796AB9">
            <w:pPr>
              <w:keepNext/>
              <w:widowControl w:val="0"/>
              <w:jc w:val="center"/>
              <w:rPr>
                <w:rFonts w:cs="Arial"/>
                <w:b/>
              </w:rPr>
            </w:pPr>
            <w:r>
              <w:rPr>
                <w:rFonts w:cs="Arial"/>
                <w:b/>
              </w:rPr>
              <w:t>Source</w:t>
            </w:r>
          </w:p>
        </w:tc>
        <w:tc>
          <w:tcPr>
            <w:tcW w:w="2394" w:type="dxa"/>
          </w:tcPr>
          <w:p w:rsidR="00361F25" w:rsidRDefault="00796AB9">
            <w:pPr>
              <w:keepNext/>
              <w:jc w:val="center"/>
              <w:rPr>
                <w:rFonts w:cs="Arial"/>
                <w:b/>
              </w:rPr>
            </w:pPr>
            <w:r>
              <w:rPr>
                <w:rFonts w:cs="Arial"/>
                <w:b/>
              </w:rPr>
              <w:t>Resources Made Available</w:t>
            </w:r>
          </w:p>
        </w:tc>
        <w:tc>
          <w:tcPr>
            <w:tcW w:w="2394" w:type="dxa"/>
          </w:tcPr>
          <w:p w:rsidR="00361F25" w:rsidRDefault="00796AB9">
            <w:pPr>
              <w:keepNext/>
              <w:widowControl w:val="0"/>
              <w:jc w:val="center"/>
              <w:rPr>
                <w:rFonts w:cs="Arial"/>
                <w:b/>
              </w:rPr>
            </w:pPr>
            <w:r>
              <w:rPr>
                <w:rFonts w:cs="Arial"/>
                <w:b/>
              </w:rPr>
              <w:t>Amount Expended During Program Year</w:t>
            </w:r>
          </w:p>
        </w:tc>
      </w:tr>
      <w:tr w:rsidR="00361F25">
        <w:trPr>
          <w:cantSplit/>
        </w:trPr>
        <w:tc>
          <w:tcPr>
            <w:tcW w:w="0" w:type="auto"/>
            <w:vAlign w:val="bottom"/>
          </w:tcPr>
          <w:p w:rsidR="00361F25" w:rsidRDefault="00796AB9">
            <w:pPr>
              <w:spacing w:beforeAutospacing="1" w:afterAutospacing="1"/>
            </w:pPr>
            <w:r>
              <w:rPr>
                <w:color w:val="000000"/>
              </w:rPr>
              <w:t>CDBG</w:t>
            </w:r>
          </w:p>
        </w:tc>
        <w:tc>
          <w:tcPr>
            <w:tcW w:w="0" w:type="auto"/>
            <w:vAlign w:val="bottom"/>
          </w:tcPr>
          <w:p w:rsidR="00361F25" w:rsidRDefault="00796AB9">
            <w:pPr>
              <w:spacing w:beforeAutospacing="1" w:afterAutospacing="1"/>
            </w:pPr>
            <w:r>
              <w:rPr>
                <w:color w:val="000000"/>
              </w:rPr>
              <w:t>public - federal</w:t>
            </w:r>
          </w:p>
        </w:tc>
        <w:tc>
          <w:tcPr>
            <w:tcW w:w="0" w:type="auto"/>
            <w:vAlign w:val="bottom"/>
          </w:tcPr>
          <w:p w:rsidR="00361F25" w:rsidRDefault="00912487">
            <w:pPr>
              <w:spacing w:beforeAutospacing="1" w:afterAutospacing="1"/>
              <w:jc w:val="right"/>
            </w:pPr>
            <w:r>
              <w:rPr>
                <w:color w:val="000000"/>
              </w:rPr>
              <w:t>535,622.61</w:t>
            </w:r>
          </w:p>
        </w:tc>
        <w:tc>
          <w:tcPr>
            <w:tcW w:w="0" w:type="auto"/>
            <w:vAlign w:val="bottom"/>
          </w:tcPr>
          <w:p w:rsidR="00361F25" w:rsidRDefault="00912487">
            <w:pPr>
              <w:spacing w:beforeAutospacing="1" w:afterAutospacing="1"/>
              <w:jc w:val="right"/>
            </w:pPr>
            <w:r>
              <w:rPr>
                <w:color w:val="000000"/>
              </w:rPr>
              <w:t>549,227.07</w:t>
            </w:r>
          </w:p>
        </w:tc>
      </w:tr>
      <w:tr w:rsidR="00361F25">
        <w:trPr>
          <w:cantSplit/>
        </w:trPr>
        <w:tc>
          <w:tcPr>
            <w:tcW w:w="0" w:type="auto"/>
            <w:vAlign w:val="bottom"/>
          </w:tcPr>
          <w:p w:rsidR="00361F25" w:rsidRDefault="00796AB9">
            <w:pPr>
              <w:spacing w:beforeAutospacing="1" w:afterAutospacing="1"/>
            </w:pPr>
            <w:r>
              <w:rPr>
                <w:color w:val="000000"/>
              </w:rPr>
              <w:t>General Fund</w:t>
            </w:r>
          </w:p>
        </w:tc>
        <w:tc>
          <w:tcPr>
            <w:tcW w:w="0" w:type="auto"/>
            <w:vAlign w:val="bottom"/>
          </w:tcPr>
          <w:p w:rsidR="00361F25" w:rsidRDefault="00796AB9">
            <w:pPr>
              <w:spacing w:beforeAutospacing="1" w:afterAutospacing="1"/>
            </w:pPr>
            <w:r>
              <w:rPr>
                <w:color w:val="000000"/>
              </w:rPr>
              <w:t>public - local</w:t>
            </w:r>
          </w:p>
        </w:tc>
        <w:tc>
          <w:tcPr>
            <w:tcW w:w="0" w:type="auto"/>
            <w:vAlign w:val="bottom"/>
          </w:tcPr>
          <w:p w:rsidR="00361F25" w:rsidRPr="00492A7A" w:rsidRDefault="002D0804">
            <w:pPr>
              <w:spacing w:beforeAutospacing="1" w:afterAutospacing="1"/>
              <w:jc w:val="right"/>
            </w:pPr>
            <w:r w:rsidRPr="00492A7A">
              <w:rPr>
                <w:color w:val="000000"/>
              </w:rPr>
              <w:t>1</w:t>
            </w:r>
            <w:r w:rsidR="00796AB9" w:rsidRPr="00492A7A">
              <w:rPr>
                <w:color w:val="000000"/>
              </w:rPr>
              <w:t>,000,000</w:t>
            </w:r>
          </w:p>
        </w:tc>
        <w:tc>
          <w:tcPr>
            <w:tcW w:w="0" w:type="auto"/>
            <w:vAlign w:val="bottom"/>
          </w:tcPr>
          <w:p w:rsidR="00361F25" w:rsidRPr="00492A7A" w:rsidRDefault="00796AB9">
            <w:pPr>
              <w:spacing w:beforeAutospacing="1" w:afterAutospacing="1"/>
              <w:jc w:val="right"/>
            </w:pPr>
            <w:r w:rsidRPr="00492A7A">
              <w:rPr>
                <w:color w:val="000000"/>
              </w:rPr>
              <w:t xml:space="preserve"> </w:t>
            </w:r>
          </w:p>
        </w:tc>
      </w:tr>
    </w:tbl>
    <w:p w:rsidR="00361F25" w:rsidRDefault="00796AB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D1247D">
        <w:rPr>
          <w:rFonts w:asciiTheme="minorHAnsi" w:hAnsiTheme="minorHAnsi"/>
          <w:noProof/>
        </w:rPr>
        <w:t>3</w:t>
      </w:r>
      <w:r>
        <w:rPr>
          <w:rFonts w:asciiTheme="minorHAnsi" w:hAnsiTheme="minorHAnsi"/>
        </w:rPr>
        <w:fldChar w:fldCharType="end"/>
      </w:r>
      <w:r>
        <w:rPr>
          <w:rFonts w:asciiTheme="minorHAnsi" w:hAnsiTheme="minorHAnsi"/>
        </w:rPr>
        <w:t xml:space="preserve"> - Resources Made Available</w:t>
      </w:r>
    </w:p>
    <w:p w:rsidR="00361F25" w:rsidRDefault="00361F25">
      <w:pPr>
        <w:rPr>
          <w:b/>
          <w:sz w:val="24"/>
          <w:szCs w:val="24"/>
        </w:rPr>
      </w:pPr>
    </w:p>
    <w:p w:rsidR="00361F25" w:rsidRDefault="00796AB9">
      <w:pPr>
        <w:rPr>
          <w:b/>
          <w:sz w:val="24"/>
          <w:szCs w:val="24"/>
        </w:rPr>
      </w:pPr>
      <w:r>
        <w:rPr>
          <w:b/>
          <w:sz w:val="24"/>
          <w:szCs w:val="24"/>
        </w:rPr>
        <w:t>Narrative</w:t>
      </w:r>
    </w:p>
    <w:p w:rsidR="00361F25" w:rsidRDefault="00796AB9">
      <w:pPr>
        <w:spacing w:beforeAutospacing="1" w:afterAutospacing="1"/>
        <w:rPr>
          <w:rFonts w:cs="Arial"/>
        </w:rPr>
      </w:pPr>
      <w:r>
        <w:rPr>
          <w:rFonts w:cs="Arial"/>
        </w:rPr>
        <w:t>Enid target areas represent portions of communities in which 51 percent or more of the residents are low-</w:t>
      </w:r>
      <w:r w:rsidR="00B9561B">
        <w:rPr>
          <w:rFonts w:cs="Arial"/>
        </w:rPr>
        <w:t xml:space="preserve">and </w:t>
      </w:r>
      <w:r>
        <w:rPr>
          <w:rFonts w:cs="Arial"/>
        </w:rPr>
        <w:t>moderate-income and thus eligible for CDBG, HOME and ESG activities which include projects and programs for housing, infrastructure, economic development, and the various other Consolidated Plan elements that impact quality of life.</w:t>
      </w:r>
    </w:p>
    <w:p w:rsidR="00361F25" w:rsidRDefault="00796AB9">
      <w:pPr>
        <w:spacing w:beforeAutospacing="1" w:afterAutospacing="1"/>
        <w:rPr>
          <w:rFonts w:cs="Arial"/>
        </w:rPr>
      </w:pPr>
      <w:r>
        <w:rPr>
          <w:rFonts w:cs="Arial"/>
        </w:rPr>
        <w:t>Resources available through Enid are exclusively dedicated to the improvement of living conditions for extremely low, very low</w:t>
      </w:r>
      <w:r w:rsidR="00B9561B">
        <w:rPr>
          <w:rFonts w:cs="Arial"/>
        </w:rPr>
        <w:t>,</w:t>
      </w:r>
      <w:r>
        <w:rPr>
          <w:rFonts w:cs="Arial"/>
        </w:rPr>
        <w:t xml:space="preserve"> or low-income individuals and families which are defined as persons who make at or below 30 percent, 50 percent, and 80 percent of the median family income for the area. 100% of the beneficiaries of CDBG are low-moderate income. </w:t>
      </w:r>
    </w:p>
    <w:p w:rsidR="00361F25" w:rsidRDefault="00361F25">
      <w:pPr>
        <w:rPr>
          <w:b/>
          <w:sz w:val="24"/>
          <w:szCs w:val="24"/>
        </w:rPr>
      </w:pPr>
    </w:p>
    <w:p w:rsidR="00361F25" w:rsidRDefault="00796AB9">
      <w:pPr>
        <w:keepNext/>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98"/>
        <w:gridCol w:w="1698"/>
        <w:gridCol w:w="4495"/>
      </w:tblGrid>
      <w:tr w:rsidR="00361F25">
        <w:trPr>
          <w:cantSplit/>
        </w:trPr>
        <w:tc>
          <w:tcPr>
            <w:tcW w:w="2394" w:type="dxa"/>
          </w:tcPr>
          <w:p w:rsidR="00361F25" w:rsidRDefault="00796AB9">
            <w:pPr>
              <w:keepNext/>
              <w:widowControl w:val="0"/>
              <w:jc w:val="center"/>
              <w:rPr>
                <w:rFonts w:cs="Arial"/>
                <w:b/>
              </w:rPr>
            </w:pPr>
            <w:r>
              <w:rPr>
                <w:rFonts w:cs="Arial"/>
                <w:b/>
              </w:rPr>
              <w:t>Target Area</w:t>
            </w:r>
          </w:p>
        </w:tc>
        <w:tc>
          <w:tcPr>
            <w:tcW w:w="2394" w:type="dxa"/>
          </w:tcPr>
          <w:p w:rsidR="00361F25" w:rsidRDefault="00796AB9">
            <w:pPr>
              <w:keepNext/>
              <w:widowControl w:val="0"/>
              <w:jc w:val="center"/>
              <w:rPr>
                <w:rFonts w:cs="Arial"/>
                <w:b/>
              </w:rPr>
            </w:pPr>
            <w:r>
              <w:rPr>
                <w:rFonts w:cs="Arial"/>
                <w:b/>
              </w:rPr>
              <w:t>Planned Percentage of Allocation</w:t>
            </w:r>
          </w:p>
        </w:tc>
        <w:tc>
          <w:tcPr>
            <w:tcW w:w="2394" w:type="dxa"/>
          </w:tcPr>
          <w:p w:rsidR="00361F25" w:rsidRDefault="00796AB9">
            <w:pPr>
              <w:keepNext/>
              <w:jc w:val="center"/>
              <w:rPr>
                <w:rFonts w:cs="Arial"/>
                <w:b/>
              </w:rPr>
            </w:pPr>
            <w:r>
              <w:rPr>
                <w:rFonts w:cs="Arial"/>
                <w:b/>
              </w:rPr>
              <w:t>Actual Percentage of Allocation</w:t>
            </w:r>
          </w:p>
        </w:tc>
        <w:tc>
          <w:tcPr>
            <w:tcW w:w="2394" w:type="dxa"/>
          </w:tcPr>
          <w:p w:rsidR="00361F25" w:rsidRDefault="00796AB9">
            <w:pPr>
              <w:keepNext/>
              <w:widowControl w:val="0"/>
              <w:jc w:val="center"/>
              <w:rPr>
                <w:rFonts w:cs="Arial"/>
                <w:b/>
              </w:rPr>
            </w:pPr>
            <w:r>
              <w:rPr>
                <w:rFonts w:cs="Arial"/>
                <w:b/>
              </w:rPr>
              <w:t>Narrative Description</w:t>
            </w:r>
          </w:p>
        </w:tc>
      </w:tr>
      <w:tr w:rsidR="00361F25">
        <w:trPr>
          <w:cantSplit/>
        </w:trPr>
        <w:tc>
          <w:tcPr>
            <w:tcW w:w="0" w:type="auto"/>
            <w:vAlign w:val="bottom"/>
          </w:tcPr>
          <w:p w:rsidR="00361F25" w:rsidRDefault="00796AB9">
            <w:pPr>
              <w:spacing w:beforeAutospacing="1" w:afterAutospacing="1"/>
            </w:pPr>
            <w:r>
              <w:rPr>
                <w:color w:val="000000"/>
              </w:rPr>
              <w:t>Low Mod Census Tracts</w:t>
            </w:r>
          </w:p>
        </w:tc>
        <w:tc>
          <w:tcPr>
            <w:tcW w:w="0" w:type="auto"/>
            <w:vAlign w:val="bottom"/>
          </w:tcPr>
          <w:p w:rsidR="00361F25" w:rsidRDefault="00796AB9">
            <w:pPr>
              <w:spacing w:beforeAutospacing="1" w:afterAutospacing="1"/>
            </w:pPr>
            <w:r>
              <w:rPr>
                <w:color w:val="000000"/>
              </w:rPr>
              <w:t>100</w:t>
            </w:r>
          </w:p>
        </w:tc>
        <w:tc>
          <w:tcPr>
            <w:tcW w:w="0" w:type="auto"/>
            <w:vAlign w:val="bottom"/>
          </w:tcPr>
          <w:p w:rsidR="00361F25" w:rsidRDefault="00796AB9">
            <w:pPr>
              <w:spacing w:beforeAutospacing="1" w:afterAutospacing="1"/>
            </w:pPr>
            <w:r>
              <w:rPr>
                <w:color w:val="000000"/>
              </w:rPr>
              <w:t>100</w:t>
            </w:r>
          </w:p>
        </w:tc>
        <w:tc>
          <w:tcPr>
            <w:tcW w:w="0" w:type="auto"/>
            <w:vAlign w:val="bottom"/>
          </w:tcPr>
          <w:p w:rsidR="00361F25" w:rsidRDefault="00796AB9">
            <w:pPr>
              <w:spacing w:beforeAutospacing="1" w:afterAutospacing="1"/>
            </w:pPr>
            <w:r>
              <w:rPr>
                <w:color w:val="000000"/>
              </w:rPr>
              <w:t xml:space="preserve">100% of all CDBG funding is spent on Low </w:t>
            </w:r>
            <w:r w:rsidR="006E7007">
              <w:rPr>
                <w:color w:val="000000"/>
              </w:rPr>
              <w:t>Moderate-Income</w:t>
            </w:r>
            <w:r>
              <w:rPr>
                <w:color w:val="000000"/>
              </w:rPr>
              <w:t xml:space="preserve"> Clientele and or in Low Mod Census Tracts</w:t>
            </w:r>
          </w:p>
        </w:tc>
      </w:tr>
    </w:tbl>
    <w:p w:rsidR="00361F25" w:rsidRDefault="00796AB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D1247D">
        <w:rPr>
          <w:rFonts w:asciiTheme="minorHAnsi" w:hAnsiTheme="minorHAnsi"/>
          <w:noProof/>
        </w:rPr>
        <w:t>4</w:t>
      </w:r>
      <w:r>
        <w:rPr>
          <w:rFonts w:asciiTheme="minorHAnsi" w:hAnsiTheme="minorHAnsi"/>
        </w:rPr>
        <w:fldChar w:fldCharType="end"/>
      </w:r>
      <w:r>
        <w:rPr>
          <w:rFonts w:asciiTheme="minorHAnsi" w:hAnsiTheme="minorHAnsi"/>
        </w:rPr>
        <w:t xml:space="preserve"> – Identify the geographic distribution and location of investments</w:t>
      </w:r>
    </w:p>
    <w:p w:rsidR="00361F25" w:rsidRDefault="00361F25">
      <w:pPr>
        <w:keepNext/>
        <w:widowControl w:val="0"/>
        <w:spacing w:line="204" w:lineRule="auto"/>
        <w:rPr>
          <w:b/>
          <w:sz w:val="24"/>
          <w:szCs w:val="24"/>
        </w:rPr>
      </w:pPr>
    </w:p>
    <w:p w:rsidR="00361F25" w:rsidRDefault="00796AB9">
      <w:pPr>
        <w:widowControl w:val="0"/>
        <w:spacing w:line="204" w:lineRule="auto"/>
        <w:rPr>
          <w:b/>
          <w:sz w:val="24"/>
          <w:szCs w:val="24"/>
        </w:rPr>
      </w:pPr>
      <w:r>
        <w:rPr>
          <w:b/>
          <w:sz w:val="24"/>
          <w:szCs w:val="24"/>
        </w:rPr>
        <w:t>Narrative</w:t>
      </w:r>
    </w:p>
    <w:p w:rsidR="00361F25" w:rsidRDefault="00796AB9">
      <w:pPr>
        <w:widowControl w:val="0"/>
        <w:spacing w:beforeAutospacing="1" w:afterAutospacing="1"/>
        <w:rPr>
          <w:rFonts w:cs="Arial"/>
        </w:rPr>
      </w:pPr>
      <w:r>
        <w:rPr>
          <w:rFonts w:cs="Arial"/>
        </w:rPr>
        <w:t>CDBG assistance is made available throughout the City of Enid. However, from time to time, based on the type of activity to be undertaken, the City may target and invest CDBG funds to specific areas where 51% or more of the total household beneficiaries have low to moderate incomes. Typically, the City qualifies CDBG activities under the national objective of benefit to low</w:t>
      </w:r>
      <w:r w:rsidR="00B9561B">
        <w:rPr>
          <w:rFonts w:cs="Arial"/>
        </w:rPr>
        <w:t>-</w:t>
      </w:r>
      <w:r>
        <w:rPr>
          <w:rFonts w:cs="Arial"/>
        </w:rPr>
        <w:t>and moderate</w:t>
      </w:r>
      <w:r w:rsidR="00B9561B">
        <w:rPr>
          <w:rFonts w:cs="Arial"/>
        </w:rPr>
        <w:t>-</w:t>
      </w:r>
      <w:r>
        <w:rPr>
          <w:rFonts w:cs="Arial"/>
        </w:rPr>
        <w:t>income households. Documentation proof of income status is a requirement to benefit from CDBG programs. </w:t>
      </w:r>
    </w:p>
    <w:p w:rsidR="00361F25" w:rsidRDefault="00796AB9">
      <w:pPr>
        <w:widowControl w:val="0"/>
        <w:spacing w:beforeAutospacing="1" w:afterAutospacing="1"/>
        <w:rPr>
          <w:rFonts w:cs="Arial"/>
        </w:rPr>
      </w:pPr>
      <w:r>
        <w:rPr>
          <w:rFonts w:cs="Arial"/>
        </w:rPr>
        <w:t>Each year the City and its subrecipients leverage over $1 million dollars with CDBG funds to complete projects. This is also true for the program year addressed in this report FY20</w:t>
      </w:r>
      <w:r w:rsidR="000A7190">
        <w:rPr>
          <w:rFonts w:cs="Arial"/>
        </w:rPr>
        <w:t>2</w:t>
      </w:r>
      <w:r w:rsidR="004739F0">
        <w:rPr>
          <w:rFonts w:cs="Arial"/>
        </w:rPr>
        <w:t>2</w:t>
      </w:r>
      <w:r>
        <w:rPr>
          <w:rFonts w:cs="Arial"/>
        </w:rPr>
        <w:t>.</w:t>
      </w:r>
    </w:p>
    <w:p w:rsidR="00361F25" w:rsidRDefault="00796AB9">
      <w:pPr>
        <w:pageBreakBefore/>
        <w:widowControl w:val="0"/>
        <w:rPr>
          <w:b/>
          <w:sz w:val="24"/>
          <w:szCs w:val="24"/>
        </w:rPr>
      </w:pPr>
      <w:r>
        <w:rPr>
          <w:b/>
          <w:sz w:val="24"/>
          <w:szCs w:val="24"/>
        </w:rPr>
        <w:lastRenderedPageBreak/>
        <w:t>Leveraging</w:t>
      </w:r>
    </w:p>
    <w:p w:rsidR="00361F25" w:rsidRDefault="00796AB9">
      <w:pPr>
        <w:widowControl w:val="0"/>
        <w:rPr>
          <w:b/>
          <w:sz w:val="24"/>
          <w:szCs w:val="24"/>
        </w:rPr>
      </w:pPr>
      <w:r>
        <w:rPr>
          <w:b/>
          <w:sz w:val="24"/>
          <w:szCs w:val="24"/>
        </w:rPr>
        <w:t xml:space="preserve">Explain how federal </w:t>
      </w:r>
      <w:r w:rsidR="006E7007">
        <w:rPr>
          <w:b/>
          <w:sz w:val="24"/>
          <w:szCs w:val="24"/>
        </w:rPr>
        <w:t>funds leveraged</w:t>
      </w:r>
      <w:r>
        <w:rPr>
          <w:b/>
          <w:sz w:val="24"/>
          <w:szCs w:val="24"/>
        </w:rPr>
        <w:t xml:space="preserve"> additional resources (private, state and local funds), including a description of how matching requirements were satisfied, as well as how any publicly owned land or property located within the jurisdiction that were used to address the needs identified in the plan.</w:t>
      </w:r>
    </w:p>
    <w:p w:rsidR="00361F25" w:rsidRPr="002D0804" w:rsidRDefault="00796AB9">
      <w:pPr>
        <w:widowControl w:val="0"/>
        <w:spacing w:beforeAutospacing="1" w:afterAutospacing="1"/>
      </w:pPr>
      <w:r w:rsidRPr="002D0804">
        <w:t>The City’s CDBG enti</w:t>
      </w:r>
      <w:r w:rsidR="004B0FF6" w:rsidRPr="002D0804">
        <w:t>tlement allocation for 202</w:t>
      </w:r>
      <w:r w:rsidR="004739F0">
        <w:t>2</w:t>
      </w:r>
      <w:r w:rsidR="004B0FF6" w:rsidRPr="002D0804">
        <w:t xml:space="preserve"> was $</w:t>
      </w:r>
      <w:r w:rsidR="000A7190" w:rsidRPr="007B1205">
        <w:rPr>
          <w:highlight w:val="cyan"/>
        </w:rPr>
        <w:t>4</w:t>
      </w:r>
      <w:r w:rsidR="004739F0" w:rsidRPr="007B1205">
        <w:rPr>
          <w:highlight w:val="cyan"/>
        </w:rPr>
        <w:t>54,486</w:t>
      </w:r>
      <w:r w:rsidR="000A7190" w:rsidRPr="007B1205">
        <w:rPr>
          <w:highlight w:val="cyan"/>
        </w:rPr>
        <w:t>.00</w:t>
      </w:r>
      <w:r w:rsidRPr="007B1205">
        <w:rPr>
          <w:highlight w:val="cyan"/>
        </w:rPr>
        <w:t xml:space="preserve">.  </w:t>
      </w:r>
      <w:r w:rsidR="007B1205" w:rsidRPr="007B1205">
        <w:rPr>
          <w:highlight w:val="cyan"/>
        </w:rPr>
        <w:t>The City had $81,136.61</w:t>
      </w:r>
      <w:r w:rsidR="007B1205">
        <w:t xml:space="preserve"> in credits or returns for a total of $535,622.61 to allocate. </w:t>
      </w:r>
      <w:r w:rsidRPr="002D0804">
        <w:t xml:space="preserve">All funds were committed to projects that met the consolidated plan’s goals and objectives.  During the program </w:t>
      </w:r>
      <w:r w:rsidRPr="00BD0B11">
        <w:t xml:space="preserve">year, </w:t>
      </w:r>
      <w:r w:rsidRPr="007B1205">
        <w:rPr>
          <w:highlight w:val="cyan"/>
        </w:rPr>
        <w:t>$</w:t>
      </w:r>
      <w:r w:rsidR="007B1205" w:rsidRPr="007B1205">
        <w:rPr>
          <w:highlight w:val="cyan"/>
        </w:rPr>
        <w:t>549,473.32</w:t>
      </w:r>
      <w:r w:rsidRPr="00BD0B11">
        <w:t xml:space="preserve"> in CDBG</w:t>
      </w:r>
      <w:r w:rsidRPr="002D0804">
        <w:t xml:space="preserve"> funding was expended. Some funding spent during this fiscal year was from projects still open from the previous fiscal year</w:t>
      </w:r>
      <w:r w:rsidR="002D0804" w:rsidRPr="002D0804">
        <w:t>s</w:t>
      </w:r>
      <w:r w:rsidRPr="002D0804">
        <w:t>.  Most projects</w:t>
      </w:r>
      <w:r w:rsidR="00B9561B" w:rsidRPr="002D0804">
        <w:t xml:space="preserve"> meet HUD’s</w:t>
      </w:r>
      <w:r w:rsidRPr="002D0804">
        <w:t xml:space="preserve"> Low-</w:t>
      </w:r>
      <w:r w:rsidR="00B9561B" w:rsidRPr="002D0804">
        <w:t xml:space="preserve">and </w:t>
      </w:r>
      <w:r w:rsidRPr="002D0804">
        <w:t>Moderate</w:t>
      </w:r>
      <w:r w:rsidR="00B9561B" w:rsidRPr="002D0804">
        <w:t>-</w:t>
      </w:r>
      <w:r w:rsidRPr="002D0804">
        <w:t>Income Clientele Benefit</w:t>
      </w:r>
      <w:r w:rsidR="00B9561B" w:rsidRPr="002D0804">
        <w:t xml:space="preserve"> National Objective</w:t>
      </w:r>
      <w:r w:rsidRPr="002D0804">
        <w:t>, meaning the beneficiary must provide proof of income eligibility for services provided with CDBG funds.  However, some projects are based on location</w:t>
      </w:r>
      <w:r w:rsidR="00B9561B" w:rsidRPr="002D0804">
        <w:t>,</w:t>
      </w:r>
      <w:r w:rsidRPr="002D0804">
        <w:t xml:space="preserve"> or area benefit.</w:t>
      </w:r>
      <w:r w:rsidR="00FC2F67" w:rsidRPr="002D0804">
        <w:t xml:space="preserve"> Those Area benefit projects are publicly owned land or property locate</w:t>
      </w:r>
      <w:r w:rsidR="00B9561B" w:rsidRPr="002D0804">
        <w:t>d</w:t>
      </w:r>
      <w:r w:rsidR="00FC2F67" w:rsidRPr="002D0804">
        <w:t xml:space="preserve"> within the jurisdiction and are utilized to needs in the plan.</w:t>
      </w:r>
      <w:r w:rsidRPr="002D0804">
        <w:t xml:space="preserve"> The location of projects completed must be within low-moderate income areas (LMA) of the city. </w:t>
      </w:r>
      <w:r w:rsidR="00443154" w:rsidRPr="002D0804">
        <w:t xml:space="preserve"> Subrecipients utilizing CDBG funds provide additional resources as matching/leveraging which includes private, state and local funds</w:t>
      </w:r>
      <w:r w:rsidR="00FC2F67" w:rsidRPr="002D0804">
        <w:t xml:space="preserve"> to increase the number of beneficiaries served</w:t>
      </w:r>
      <w:r w:rsidR="00443154" w:rsidRPr="002D0804">
        <w:t xml:space="preserve">.   </w:t>
      </w:r>
    </w:p>
    <w:p w:rsidR="00361F25" w:rsidRDefault="00361F25">
      <w:pPr>
        <w:widowControl w:val="0"/>
        <w:rPr>
          <w:sz w:val="24"/>
          <w:szCs w:val="24"/>
        </w:rPr>
      </w:pPr>
    </w:p>
    <w:p w:rsidR="00361F25" w:rsidRPr="00443154" w:rsidRDefault="00361F25">
      <w:pPr>
        <w:rPr>
          <w:sz w:val="24"/>
          <w:szCs w:val="24"/>
        </w:rPr>
      </w:pPr>
      <w:bookmarkStart w:id="16" w:name="_Toc309810475"/>
    </w:p>
    <w:p w:rsidR="00361F25" w:rsidRDefault="00796AB9">
      <w:pPr>
        <w:pStyle w:val="Heading2"/>
        <w:rPr>
          <w:rFonts w:ascii="Calibri" w:hAnsi="Calibri"/>
          <w:i w:val="0"/>
        </w:rPr>
      </w:pPr>
      <w:bookmarkStart w:id="17" w:name="_Toc143516187"/>
      <w:r>
        <w:rPr>
          <w:rFonts w:ascii="Calibri" w:hAnsi="Calibri"/>
          <w:i w:val="0"/>
        </w:rPr>
        <w:t xml:space="preserve">CR-20 - Affordable </w:t>
      </w:r>
      <w:r w:rsidRPr="00CC3749">
        <w:rPr>
          <w:rFonts w:ascii="Calibri" w:hAnsi="Calibri"/>
          <w:i w:val="0"/>
        </w:rPr>
        <w:t>Housing</w:t>
      </w:r>
      <w:r>
        <w:rPr>
          <w:rFonts w:ascii="Calibri" w:hAnsi="Calibri"/>
          <w:i w:val="0"/>
        </w:rPr>
        <w:t xml:space="preserve"> 91.520(b)</w:t>
      </w:r>
      <w:bookmarkEnd w:id="17"/>
    </w:p>
    <w:p w:rsidR="00361F25" w:rsidRDefault="00796AB9">
      <w:pPr>
        <w:keepNext/>
        <w:widowControl w:val="0"/>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rsidR="00361F25" w:rsidRDefault="00361F25">
      <w:pPr>
        <w:keepNext/>
        <w:widowControl w:val="0"/>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361F25">
        <w:trPr>
          <w:cantSplit/>
          <w:tblHeader/>
        </w:trPr>
        <w:tc>
          <w:tcPr>
            <w:tcW w:w="4293" w:type="dxa"/>
          </w:tcPr>
          <w:p w:rsidR="00361F25" w:rsidRDefault="00361F25">
            <w:pPr>
              <w:pStyle w:val="Caption"/>
              <w:keepNext/>
              <w:widowControl w:val="0"/>
              <w:jc w:val="center"/>
              <w:rPr>
                <w:rFonts w:ascii="Calibri" w:hAnsi="Calibri"/>
                <w:sz w:val="22"/>
                <w:szCs w:val="22"/>
              </w:rPr>
            </w:pPr>
          </w:p>
        </w:tc>
        <w:tc>
          <w:tcPr>
            <w:tcW w:w="2648" w:type="dxa"/>
          </w:tcPr>
          <w:p w:rsidR="00361F25" w:rsidRDefault="00796AB9">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361F25" w:rsidRDefault="00796AB9">
            <w:pPr>
              <w:pStyle w:val="Caption"/>
              <w:keepNext/>
              <w:widowControl w:val="0"/>
              <w:jc w:val="center"/>
              <w:rPr>
                <w:rFonts w:ascii="Calibri" w:hAnsi="Calibri"/>
                <w:sz w:val="22"/>
                <w:szCs w:val="22"/>
              </w:rPr>
            </w:pPr>
            <w:r>
              <w:rPr>
                <w:rFonts w:ascii="Calibri" w:hAnsi="Calibri"/>
                <w:sz w:val="22"/>
                <w:szCs w:val="22"/>
              </w:rPr>
              <w:t>Actual</w:t>
            </w:r>
          </w:p>
        </w:tc>
      </w:tr>
      <w:tr w:rsidR="00361F25" w:rsidRPr="00E45704">
        <w:trPr>
          <w:cantSplit/>
        </w:trPr>
        <w:tc>
          <w:tcPr>
            <w:tcW w:w="4293" w:type="dxa"/>
            <w:vAlign w:val="bottom"/>
          </w:tcPr>
          <w:p w:rsidR="00361F25" w:rsidRPr="00E45704" w:rsidRDefault="00796AB9">
            <w:pPr>
              <w:spacing w:beforeAutospacing="1" w:afterAutospacing="1"/>
            </w:pPr>
            <w:r w:rsidRPr="00E45704">
              <w:rPr>
                <w:color w:val="000000"/>
              </w:rPr>
              <w:t>Number of Homeless households to be provided affordable housing units</w:t>
            </w:r>
          </w:p>
        </w:tc>
        <w:tc>
          <w:tcPr>
            <w:tcW w:w="2648" w:type="dxa"/>
            <w:vAlign w:val="bottom"/>
          </w:tcPr>
          <w:p w:rsidR="00361F25" w:rsidRPr="00E45704" w:rsidRDefault="00E45704">
            <w:pPr>
              <w:spacing w:beforeAutospacing="1" w:afterAutospacing="1"/>
              <w:jc w:val="right"/>
            </w:pPr>
            <w:r w:rsidRPr="00E45704">
              <w:rPr>
                <w:color w:val="000000"/>
              </w:rPr>
              <w:t>0</w:t>
            </w:r>
          </w:p>
        </w:tc>
        <w:tc>
          <w:tcPr>
            <w:tcW w:w="2649" w:type="dxa"/>
            <w:vAlign w:val="bottom"/>
          </w:tcPr>
          <w:p w:rsidR="00361F25" w:rsidRPr="00E45704" w:rsidRDefault="00E45704">
            <w:pPr>
              <w:spacing w:beforeAutospacing="1" w:afterAutospacing="1"/>
              <w:jc w:val="right"/>
            </w:pPr>
            <w:r w:rsidRPr="00E45704">
              <w:rPr>
                <w:color w:val="000000"/>
              </w:rPr>
              <w:t>0</w:t>
            </w:r>
          </w:p>
        </w:tc>
      </w:tr>
      <w:tr w:rsidR="00361F25" w:rsidRPr="00E45704">
        <w:trPr>
          <w:cantSplit/>
        </w:trPr>
        <w:tc>
          <w:tcPr>
            <w:tcW w:w="4293" w:type="dxa"/>
            <w:vAlign w:val="bottom"/>
          </w:tcPr>
          <w:p w:rsidR="00361F25" w:rsidRPr="00E45704" w:rsidRDefault="00796AB9">
            <w:pPr>
              <w:spacing w:beforeAutospacing="1" w:afterAutospacing="1"/>
            </w:pPr>
            <w:r w:rsidRPr="00E45704">
              <w:rPr>
                <w:color w:val="000000"/>
              </w:rPr>
              <w:t>Number of Non-Homeless households to be provided affordable housing units</w:t>
            </w:r>
          </w:p>
        </w:tc>
        <w:tc>
          <w:tcPr>
            <w:tcW w:w="2648" w:type="dxa"/>
            <w:vAlign w:val="bottom"/>
          </w:tcPr>
          <w:p w:rsidR="00361F25" w:rsidRPr="00E45704" w:rsidRDefault="00796AB9">
            <w:pPr>
              <w:spacing w:beforeAutospacing="1" w:afterAutospacing="1"/>
              <w:jc w:val="right"/>
            </w:pPr>
            <w:r w:rsidRPr="00E45704">
              <w:rPr>
                <w:color w:val="000000"/>
              </w:rPr>
              <w:t>25</w:t>
            </w:r>
          </w:p>
        </w:tc>
        <w:tc>
          <w:tcPr>
            <w:tcW w:w="2649" w:type="dxa"/>
            <w:vAlign w:val="bottom"/>
          </w:tcPr>
          <w:p w:rsidR="00361F25" w:rsidRPr="00E45704" w:rsidRDefault="00CC3749">
            <w:pPr>
              <w:spacing w:beforeAutospacing="1" w:afterAutospacing="1"/>
              <w:jc w:val="right"/>
            </w:pPr>
            <w:r>
              <w:rPr>
                <w:color w:val="000000"/>
              </w:rPr>
              <w:t>26</w:t>
            </w:r>
          </w:p>
        </w:tc>
      </w:tr>
      <w:tr w:rsidR="00361F25" w:rsidRPr="00E45704">
        <w:trPr>
          <w:cantSplit/>
        </w:trPr>
        <w:tc>
          <w:tcPr>
            <w:tcW w:w="4293" w:type="dxa"/>
            <w:vAlign w:val="bottom"/>
          </w:tcPr>
          <w:p w:rsidR="00361F25" w:rsidRPr="00E45704" w:rsidRDefault="00796AB9">
            <w:pPr>
              <w:spacing w:beforeAutospacing="1" w:afterAutospacing="1"/>
            </w:pPr>
            <w:r w:rsidRPr="00E45704">
              <w:rPr>
                <w:color w:val="000000"/>
              </w:rPr>
              <w:t>Number of Special-Needs households to be provided affordable housing units</w:t>
            </w:r>
          </w:p>
        </w:tc>
        <w:tc>
          <w:tcPr>
            <w:tcW w:w="2648" w:type="dxa"/>
            <w:vAlign w:val="bottom"/>
          </w:tcPr>
          <w:p w:rsidR="00361F25" w:rsidRPr="00E45704" w:rsidRDefault="00E45704">
            <w:pPr>
              <w:spacing w:beforeAutospacing="1" w:afterAutospacing="1"/>
              <w:jc w:val="right"/>
            </w:pPr>
            <w:r w:rsidRPr="00E45704">
              <w:rPr>
                <w:color w:val="000000"/>
              </w:rPr>
              <w:t>0</w:t>
            </w:r>
          </w:p>
        </w:tc>
        <w:tc>
          <w:tcPr>
            <w:tcW w:w="2649" w:type="dxa"/>
            <w:vAlign w:val="bottom"/>
          </w:tcPr>
          <w:p w:rsidR="00361F25" w:rsidRPr="00E45704" w:rsidRDefault="00796AB9">
            <w:pPr>
              <w:spacing w:beforeAutospacing="1" w:afterAutospacing="1"/>
              <w:jc w:val="right"/>
            </w:pPr>
            <w:r w:rsidRPr="00E45704">
              <w:rPr>
                <w:color w:val="000000"/>
              </w:rPr>
              <w:t>0</w:t>
            </w:r>
          </w:p>
        </w:tc>
      </w:tr>
      <w:tr w:rsidR="00361F25" w:rsidRPr="00E45704">
        <w:trPr>
          <w:cantSplit/>
        </w:trPr>
        <w:tc>
          <w:tcPr>
            <w:tcW w:w="4293" w:type="dxa"/>
          </w:tcPr>
          <w:p w:rsidR="00361F25" w:rsidRPr="00E45704" w:rsidRDefault="00796AB9">
            <w:pPr>
              <w:spacing w:beforeAutospacing="1" w:afterAutospacing="1"/>
            </w:pPr>
            <w:r w:rsidRPr="00E45704">
              <w:rPr>
                <w:b/>
                <w:color w:val="000000"/>
              </w:rPr>
              <w:t>Total</w:t>
            </w:r>
          </w:p>
        </w:tc>
        <w:tc>
          <w:tcPr>
            <w:tcW w:w="2648" w:type="dxa"/>
            <w:vAlign w:val="bottom"/>
          </w:tcPr>
          <w:p w:rsidR="00361F25" w:rsidRPr="00E45704" w:rsidRDefault="00E45704">
            <w:pPr>
              <w:spacing w:beforeAutospacing="1" w:afterAutospacing="1"/>
              <w:jc w:val="right"/>
            </w:pPr>
            <w:r w:rsidRPr="00E45704">
              <w:rPr>
                <w:b/>
                <w:color w:val="000000"/>
              </w:rPr>
              <w:t>25</w:t>
            </w:r>
          </w:p>
        </w:tc>
        <w:tc>
          <w:tcPr>
            <w:tcW w:w="2649" w:type="dxa"/>
            <w:vAlign w:val="bottom"/>
          </w:tcPr>
          <w:p w:rsidR="00361F25" w:rsidRPr="00E45704" w:rsidRDefault="00CC3749">
            <w:pPr>
              <w:spacing w:beforeAutospacing="1" w:afterAutospacing="1"/>
              <w:jc w:val="right"/>
            </w:pPr>
            <w:r>
              <w:rPr>
                <w:b/>
                <w:color w:val="000000"/>
              </w:rPr>
              <w:t>26</w:t>
            </w:r>
          </w:p>
        </w:tc>
      </w:tr>
    </w:tbl>
    <w:p w:rsidR="00361F25" w:rsidRPr="00E45704" w:rsidRDefault="00796AB9">
      <w:pPr>
        <w:pStyle w:val="Caption"/>
        <w:jc w:val="center"/>
        <w:rPr>
          <w:rFonts w:asciiTheme="minorHAnsi" w:hAnsiTheme="minorHAnsi"/>
        </w:rPr>
      </w:pPr>
      <w:r w:rsidRPr="00E45704">
        <w:rPr>
          <w:rFonts w:asciiTheme="minorHAnsi" w:hAnsiTheme="minorHAnsi"/>
        </w:rPr>
        <w:t xml:space="preserve">Table </w:t>
      </w:r>
      <w:r w:rsidRPr="00E45704">
        <w:rPr>
          <w:rFonts w:asciiTheme="minorHAnsi" w:hAnsiTheme="minorHAnsi"/>
        </w:rPr>
        <w:fldChar w:fldCharType="begin"/>
      </w:r>
      <w:r w:rsidRPr="00E45704">
        <w:rPr>
          <w:rFonts w:asciiTheme="minorHAnsi" w:hAnsiTheme="minorHAnsi"/>
        </w:rPr>
        <w:instrText xml:space="preserve"> SEQ Table \* ARABIC </w:instrText>
      </w:r>
      <w:r w:rsidRPr="00E45704">
        <w:rPr>
          <w:rFonts w:asciiTheme="minorHAnsi" w:hAnsiTheme="minorHAnsi"/>
        </w:rPr>
        <w:fldChar w:fldCharType="separate"/>
      </w:r>
      <w:r w:rsidR="00D1247D">
        <w:rPr>
          <w:rFonts w:asciiTheme="minorHAnsi" w:hAnsiTheme="minorHAnsi"/>
          <w:noProof/>
        </w:rPr>
        <w:t>5</w:t>
      </w:r>
      <w:r w:rsidRPr="00E45704">
        <w:rPr>
          <w:rFonts w:asciiTheme="minorHAnsi" w:hAnsiTheme="minorHAnsi"/>
        </w:rPr>
        <w:fldChar w:fldCharType="end"/>
      </w:r>
      <w:r w:rsidRPr="00E45704">
        <w:rPr>
          <w:rFonts w:asciiTheme="minorHAnsi" w:hAnsiTheme="minorHAnsi"/>
        </w:rPr>
        <w:t xml:space="preserve"> – Number of Households</w:t>
      </w:r>
    </w:p>
    <w:p w:rsidR="00361F25" w:rsidRPr="00E45704" w:rsidRDefault="00361F25"/>
    <w:p w:rsidR="00361F25" w:rsidRPr="00E45704" w:rsidRDefault="00361F25"/>
    <w:p w:rsidR="00361F25" w:rsidRPr="00E45704" w:rsidRDefault="00361F25">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361F25" w:rsidRPr="00E45704">
        <w:trPr>
          <w:cantSplit/>
          <w:tblHeader/>
        </w:trPr>
        <w:tc>
          <w:tcPr>
            <w:tcW w:w="4293" w:type="dxa"/>
          </w:tcPr>
          <w:p w:rsidR="00361F25" w:rsidRPr="00E45704" w:rsidRDefault="00361F25">
            <w:pPr>
              <w:pStyle w:val="Caption"/>
              <w:keepNext/>
              <w:widowControl w:val="0"/>
              <w:jc w:val="center"/>
              <w:rPr>
                <w:rFonts w:ascii="Calibri" w:hAnsi="Calibri"/>
                <w:sz w:val="22"/>
                <w:szCs w:val="22"/>
              </w:rPr>
            </w:pPr>
          </w:p>
        </w:tc>
        <w:tc>
          <w:tcPr>
            <w:tcW w:w="2648" w:type="dxa"/>
          </w:tcPr>
          <w:p w:rsidR="00361F25" w:rsidRPr="00E45704" w:rsidRDefault="00796AB9">
            <w:pPr>
              <w:pStyle w:val="Caption"/>
              <w:keepNext/>
              <w:widowControl w:val="0"/>
              <w:jc w:val="center"/>
              <w:rPr>
                <w:rFonts w:ascii="Calibri" w:hAnsi="Calibri"/>
                <w:sz w:val="22"/>
                <w:szCs w:val="22"/>
              </w:rPr>
            </w:pPr>
            <w:r w:rsidRPr="00E45704">
              <w:rPr>
                <w:rFonts w:ascii="Calibri" w:hAnsi="Calibri"/>
                <w:sz w:val="22"/>
                <w:szCs w:val="22"/>
              </w:rPr>
              <w:t>One-Year Goal</w:t>
            </w:r>
          </w:p>
        </w:tc>
        <w:tc>
          <w:tcPr>
            <w:tcW w:w="2649" w:type="dxa"/>
          </w:tcPr>
          <w:p w:rsidR="00361F25" w:rsidRPr="00E45704" w:rsidRDefault="00796AB9">
            <w:pPr>
              <w:pStyle w:val="Caption"/>
              <w:keepNext/>
              <w:widowControl w:val="0"/>
              <w:jc w:val="center"/>
              <w:rPr>
                <w:rFonts w:ascii="Calibri" w:hAnsi="Calibri"/>
                <w:sz w:val="22"/>
                <w:szCs w:val="22"/>
              </w:rPr>
            </w:pPr>
            <w:r w:rsidRPr="00E45704">
              <w:rPr>
                <w:rFonts w:ascii="Calibri" w:hAnsi="Calibri"/>
                <w:sz w:val="22"/>
                <w:szCs w:val="22"/>
              </w:rPr>
              <w:t>Actual</w:t>
            </w:r>
          </w:p>
        </w:tc>
      </w:tr>
      <w:tr w:rsidR="00361F25" w:rsidRPr="00E45704">
        <w:trPr>
          <w:cantSplit/>
        </w:trPr>
        <w:tc>
          <w:tcPr>
            <w:tcW w:w="4293" w:type="dxa"/>
            <w:vAlign w:val="bottom"/>
          </w:tcPr>
          <w:p w:rsidR="00361F25" w:rsidRPr="00E45704" w:rsidRDefault="00796AB9">
            <w:pPr>
              <w:spacing w:beforeAutospacing="1" w:afterAutospacing="1"/>
            </w:pPr>
            <w:r w:rsidRPr="00E45704">
              <w:rPr>
                <w:color w:val="000000"/>
              </w:rPr>
              <w:t>Number of households supported through Rental Assistance</w:t>
            </w:r>
          </w:p>
        </w:tc>
        <w:tc>
          <w:tcPr>
            <w:tcW w:w="2648" w:type="dxa"/>
            <w:vAlign w:val="bottom"/>
          </w:tcPr>
          <w:p w:rsidR="00361F25" w:rsidRPr="00E45704" w:rsidRDefault="00796AB9">
            <w:pPr>
              <w:spacing w:beforeAutospacing="1" w:afterAutospacing="1"/>
              <w:jc w:val="right"/>
            </w:pPr>
            <w:r w:rsidRPr="00E45704">
              <w:rPr>
                <w:color w:val="000000"/>
              </w:rPr>
              <w:t>0</w:t>
            </w:r>
          </w:p>
        </w:tc>
        <w:tc>
          <w:tcPr>
            <w:tcW w:w="2649" w:type="dxa"/>
            <w:vAlign w:val="bottom"/>
          </w:tcPr>
          <w:p w:rsidR="00361F25" w:rsidRPr="00E45704" w:rsidRDefault="00796AB9">
            <w:pPr>
              <w:spacing w:beforeAutospacing="1" w:afterAutospacing="1"/>
              <w:jc w:val="right"/>
            </w:pPr>
            <w:r w:rsidRPr="00E45704">
              <w:rPr>
                <w:color w:val="000000"/>
              </w:rPr>
              <w:t>0</w:t>
            </w:r>
          </w:p>
        </w:tc>
      </w:tr>
      <w:tr w:rsidR="00361F25" w:rsidRPr="00E45704">
        <w:trPr>
          <w:cantSplit/>
        </w:trPr>
        <w:tc>
          <w:tcPr>
            <w:tcW w:w="4293" w:type="dxa"/>
            <w:vAlign w:val="bottom"/>
          </w:tcPr>
          <w:p w:rsidR="00361F25" w:rsidRPr="00E45704" w:rsidRDefault="00796AB9">
            <w:pPr>
              <w:spacing w:beforeAutospacing="1" w:afterAutospacing="1"/>
            </w:pPr>
            <w:r w:rsidRPr="00E45704">
              <w:rPr>
                <w:color w:val="000000"/>
              </w:rPr>
              <w:t>Number of households supported through The Production of New Units</w:t>
            </w:r>
          </w:p>
        </w:tc>
        <w:tc>
          <w:tcPr>
            <w:tcW w:w="2648" w:type="dxa"/>
            <w:vAlign w:val="bottom"/>
          </w:tcPr>
          <w:p w:rsidR="00361F25" w:rsidRPr="00E45704" w:rsidRDefault="00796AB9">
            <w:pPr>
              <w:spacing w:beforeAutospacing="1" w:afterAutospacing="1"/>
              <w:jc w:val="right"/>
            </w:pPr>
            <w:r w:rsidRPr="00E45704">
              <w:rPr>
                <w:color w:val="000000"/>
              </w:rPr>
              <w:t>0</w:t>
            </w:r>
          </w:p>
        </w:tc>
        <w:tc>
          <w:tcPr>
            <w:tcW w:w="2649" w:type="dxa"/>
            <w:vAlign w:val="bottom"/>
          </w:tcPr>
          <w:p w:rsidR="00361F25" w:rsidRPr="00E45704" w:rsidRDefault="00796AB9">
            <w:pPr>
              <w:spacing w:beforeAutospacing="1" w:afterAutospacing="1"/>
              <w:jc w:val="right"/>
            </w:pPr>
            <w:r w:rsidRPr="00E45704">
              <w:rPr>
                <w:color w:val="000000"/>
              </w:rPr>
              <w:t>0</w:t>
            </w:r>
          </w:p>
        </w:tc>
      </w:tr>
      <w:tr w:rsidR="00361F25">
        <w:trPr>
          <w:cantSplit/>
        </w:trPr>
        <w:tc>
          <w:tcPr>
            <w:tcW w:w="4293" w:type="dxa"/>
            <w:vAlign w:val="bottom"/>
          </w:tcPr>
          <w:p w:rsidR="00361F25" w:rsidRPr="00E45704" w:rsidRDefault="00796AB9">
            <w:pPr>
              <w:spacing w:beforeAutospacing="1" w:afterAutospacing="1"/>
            </w:pPr>
            <w:r w:rsidRPr="00E45704">
              <w:rPr>
                <w:color w:val="000000"/>
              </w:rPr>
              <w:t>Number of households supported through Rehab of Existing Units</w:t>
            </w:r>
          </w:p>
        </w:tc>
        <w:tc>
          <w:tcPr>
            <w:tcW w:w="2648" w:type="dxa"/>
            <w:vAlign w:val="bottom"/>
          </w:tcPr>
          <w:p w:rsidR="00361F25" w:rsidRPr="00E45704" w:rsidRDefault="00796AB9">
            <w:pPr>
              <w:spacing w:beforeAutospacing="1" w:afterAutospacing="1"/>
              <w:jc w:val="right"/>
            </w:pPr>
            <w:r w:rsidRPr="00E45704">
              <w:rPr>
                <w:color w:val="000000"/>
              </w:rPr>
              <w:t>25</w:t>
            </w:r>
          </w:p>
        </w:tc>
        <w:tc>
          <w:tcPr>
            <w:tcW w:w="2649" w:type="dxa"/>
            <w:vAlign w:val="bottom"/>
          </w:tcPr>
          <w:p w:rsidR="00361F25" w:rsidRPr="00E45704" w:rsidRDefault="00CC3749">
            <w:pPr>
              <w:spacing w:beforeAutospacing="1" w:afterAutospacing="1"/>
              <w:jc w:val="right"/>
            </w:pPr>
            <w:r>
              <w:rPr>
                <w:color w:val="000000"/>
              </w:rPr>
              <w:t>26</w:t>
            </w:r>
          </w:p>
        </w:tc>
      </w:tr>
      <w:tr w:rsidR="00361F25">
        <w:trPr>
          <w:cantSplit/>
        </w:trPr>
        <w:tc>
          <w:tcPr>
            <w:tcW w:w="4293" w:type="dxa"/>
            <w:vAlign w:val="bottom"/>
          </w:tcPr>
          <w:p w:rsidR="00361F25" w:rsidRDefault="00796AB9">
            <w:pPr>
              <w:spacing w:beforeAutospacing="1" w:afterAutospacing="1"/>
            </w:pPr>
            <w:r>
              <w:rPr>
                <w:color w:val="000000"/>
              </w:rPr>
              <w:lastRenderedPageBreak/>
              <w:t>Number of households supported through Acquisition of Existing Units</w:t>
            </w:r>
          </w:p>
        </w:tc>
        <w:tc>
          <w:tcPr>
            <w:tcW w:w="2648" w:type="dxa"/>
            <w:vAlign w:val="bottom"/>
          </w:tcPr>
          <w:p w:rsidR="00361F25" w:rsidRDefault="00796AB9">
            <w:pPr>
              <w:spacing w:beforeAutospacing="1" w:afterAutospacing="1"/>
              <w:jc w:val="right"/>
            </w:pPr>
            <w:r>
              <w:rPr>
                <w:color w:val="000000"/>
              </w:rPr>
              <w:t>0</w:t>
            </w:r>
          </w:p>
        </w:tc>
        <w:tc>
          <w:tcPr>
            <w:tcW w:w="2649" w:type="dxa"/>
            <w:vAlign w:val="bottom"/>
          </w:tcPr>
          <w:p w:rsidR="00361F25" w:rsidRDefault="00796AB9">
            <w:pPr>
              <w:spacing w:beforeAutospacing="1" w:afterAutospacing="1"/>
              <w:jc w:val="right"/>
            </w:pPr>
            <w:r>
              <w:rPr>
                <w:color w:val="000000"/>
              </w:rPr>
              <w:t>0</w:t>
            </w:r>
          </w:p>
        </w:tc>
      </w:tr>
      <w:tr w:rsidR="00361F25">
        <w:trPr>
          <w:cantSplit/>
        </w:trPr>
        <w:tc>
          <w:tcPr>
            <w:tcW w:w="4293" w:type="dxa"/>
          </w:tcPr>
          <w:p w:rsidR="00361F25" w:rsidRDefault="00796AB9">
            <w:pPr>
              <w:spacing w:beforeAutospacing="1" w:afterAutospacing="1"/>
            </w:pPr>
            <w:r>
              <w:rPr>
                <w:b/>
                <w:color w:val="000000"/>
              </w:rPr>
              <w:t>Total</w:t>
            </w:r>
          </w:p>
        </w:tc>
        <w:tc>
          <w:tcPr>
            <w:tcW w:w="2648" w:type="dxa"/>
            <w:vAlign w:val="bottom"/>
          </w:tcPr>
          <w:p w:rsidR="00361F25" w:rsidRDefault="00796AB9">
            <w:pPr>
              <w:spacing w:beforeAutospacing="1" w:afterAutospacing="1"/>
              <w:jc w:val="right"/>
            </w:pPr>
            <w:r>
              <w:rPr>
                <w:b/>
                <w:color w:val="000000"/>
              </w:rPr>
              <w:t>25</w:t>
            </w:r>
          </w:p>
        </w:tc>
        <w:tc>
          <w:tcPr>
            <w:tcW w:w="2649" w:type="dxa"/>
            <w:vAlign w:val="bottom"/>
          </w:tcPr>
          <w:p w:rsidR="00361F25" w:rsidRDefault="00CC3749">
            <w:pPr>
              <w:spacing w:beforeAutospacing="1" w:afterAutospacing="1"/>
              <w:jc w:val="right"/>
            </w:pPr>
            <w:r>
              <w:rPr>
                <w:b/>
                <w:color w:val="000000"/>
              </w:rPr>
              <w:t>26</w:t>
            </w:r>
          </w:p>
        </w:tc>
      </w:tr>
    </w:tbl>
    <w:p w:rsidR="00361F25" w:rsidRDefault="00796AB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D1247D">
        <w:rPr>
          <w:rFonts w:asciiTheme="minorHAnsi" w:hAnsiTheme="minorHAnsi"/>
          <w:noProof/>
        </w:rPr>
        <w:t>6</w:t>
      </w:r>
      <w:r>
        <w:rPr>
          <w:rFonts w:asciiTheme="minorHAnsi" w:hAnsiTheme="minorHAnsi"/>
        </w:rPr>
        <w:fldChar w:fldCharType="end"/>
      </w:r>
      <w:r>
        <w:rPr>
          <w:rFonts w:asciiTheme="minorHAnsi" w:hAnsiTheme="minorHAnsi"/>
        </w:rPr>
        <w:t xml:space="preserve"> – Number of Households Supported</w:t>
      </w:r>
    </w:p>
    <w:p w:rsidR="00361F25" w:rsidRDefault="00361F25">
      <w:pPr>
        <w:rPr>
          <w:rFonts w:cs="Arial"/>
        </w:rPr>
      </w:pPr>
    </w:p>
    <w:p w:rsidR="00361F25" w:rsidRDefault="00361F25">
      <w:pPr>
        <w:rPr>
          <w:rFonts w:cs="Arial"/>
        </w:rPr>
      </w:pPr>
    </w:p>
    <w:p w:rsidR="00361F25" w:rsidRDefault="00796AB9">
      <w:pPr>
        <w:widowControl w:val="0"/>
        <w:spacing w:line="204" w:lineRule="auto"/>
        <w:rPr>
          <w:b/>
          <w:sz w:val="24"/>
          <w:szCs w:val="24"/>
        </w:rPr>
      </w:pPr>
      <w:r>
        <w:rPr>
          <w:b/>
          <w:sz w:val="24"/>
          <w:szCs w:val="24"/>
        </w:rPr>
        <w:t>Discuss the difference between goals and outcomes and problems encountered in meeting these goals.</w:t>
      </w:r>
    </w:p>
    <w:p w:rsidR="00361F25" w:rsidRDefault="00796AB9">
      <w:pPr>
        <w:spacing w:beforeAutospacing="1" w:afterAutospacing="1"/>
        <w:rPr>
          <w:rFonts w:cs="Arial"/>
        </w:rPr>
      </w:pPr>
      <w:r>
        <w:rPr>
          <w:rFonts w:cs="Arial"/>
        </w:rPr>
        <w:t>The City of Enid continues its commitment to meeting housing needs during the program year Action Plan.  In an effort to continue with the goals of enhancing the housing stock throughout the city limits, the City of Enid places importance on the housing priorities as identified in the Consolidated Plan throughout the application process.</w:t>
      </w:r>
    </w:p>
    <w:p w:rsidR="00361F25" w:rsidRDefault="00796AB9">
      <w:pPr>
        <w:widowControl w:val="0"/>
        <w:spacing w:line="204" w:lineRule="auto"/>
        <w:rPr>
          <w:b/>
          <w:sz w:val="24"/>
          <w:szCs w:val="24"/>
        </w:rPr>
      </w:pPr>
      <w:r>
        <w:rPr>
          <w:b/>
          <w:sz w:val="24"/>
          <w:szCs w:val="24"/>
        </w:rPr>
        <w:t>Discuss how these outcomes will impact future annual action plans.</w:t>
      </w:r>
    </w:p>
    <w:p w:rsidR="00361F25" w:rsidRDefault="00E665E2">
      <w:pPr>
        <w:spacing w:beforeAutospacing="1" w:afterAutospacing="1"/>
        <w:rPr>
          <w:rFonts w:cs="Arial"/>
        </w:rPr>
      </w:pPr>
      <w:r>
        <w:rPr>
          <w:rFonts w:cs="Arial"/>
        </w:rPr>
        <w:t>In 202</w:t>
      </w:r>
      <w:r w:rsidR="00295683">
        <w:rPr>
          <w:rFonts w:cs="Arial"/>
        </w:rPr>
        <w:t>2</w:t>
      </w:r>
      <w:r>
        <w:rPr>
          <w:rFonts w:cs="Arial"/>
        </w:rPr>
        <w:t>, t</w:t>
      </w:r>
      <w:r w:rsidR="00796AB9">
        <w:rPr>
          <w:rFonts w:cs="Arial"/>
        </w:rPr>
        <w:t>he City also worked in conjunction with the Community Development Support Association (CDSA) to provide emergency system repairs for low-</w:t>
      </w:r>
      <w:r>
        <w:rPr>
          <w:rFonts w:cs="Arial"/>
        </w:rPr>
        <w:t>and-</w:t>
      </w:r>
      <w:r w:rsidR="00796AB9">
        <w:rPr>
          <w:rFonts w:cs="Arial"/>
        </w:rPr>
        <w:t>moderate</w:t>
      </w:r>
      <w:r>
        <w:rPr>
          <w:rFonts w:cs="Arial"/>
        </w:rPr>
        <w:t>-</w:t>
      </w:r>
      <w:r w:rsidR="00796AB9">
        <w:rPr>
          <w:rFonts w:cs="Arial"/>
        </w:rPr>
        <w:t>income single-family owner-occupied homes, barrier removal for low-</w:t>
      </w:r>
      <w:r>
        <w:rPr>
          <w:rFonts w:cs="Arial"/>
        </w:rPr>
        <w:t xml:space="preserve">and </w:t>
      </w:r>
      <w:r w:rsidR="00796AB9">
        <w:rPr>
          <w:rFonts w:cs="Arial"/>
        </w:rPr>
        <w:t>moderate-income homes</w:t>
      </w:r>
      <w:r>
        <w:rPr>
          <w:rFonts w:cs="Arial"/>
        </w:rPr>
        <w:t>,</w:t>
      </w:r>
      <w:r w:rsidR="00796AB9">
        <w:rPr>
          <w:rFonts w:cs="Arial"/>
        </w:rPr>
        <w:t xml:space="preserve"> and</w:t>
      </w:r>
      <w:r>
        <w:rPr>
          <w:rFonts w:cs="Arial"/>
        </w:rPr>
        <w:t xml:space="preserve"> funded</w:t>
      </w:r>
      <w:r w:rsidR="00796AB9">
        <w:rPr>
          <w:rFonts w:cs="Arial"/>
        </w:rPr>
        <w:t xml:space="preserve"> project delivery costs associated with housing program</w:t>
      </w:r>
      <w:r>
        <w:rPr>
          <w:rFonts w:cs="Arial"/>
        </w:rPr>
        <w:t>s.</w:t>
      </w:r>
      <w:r w:rsidR="00796AB9">
        <w:rPr>
          <w:rFonts w:cs="Arial"/>
        </w:rPr>
        <w:t xml:space="preserve"> The number assisted </w:t>
      </w:r>
      <w:r w:rsidR="00796AB9" w:rsidRPr="00E45704">
        <w:rPr>
          <w:rFonts w:cs="Arial"/>
        </w:rPr>
        <w:t>was</w:t>
      </w:r>
      <w:r w:rsidR="00CC3749">
        <w:rPr>
          <w:rFonts w:cs="Arial"/>
        </w:rPr>
        <w:t xml:space="preserve"> 26 </w:t>
      </w:r>
      <w:r w:rsidR="00796AB9">
        <w:rPr>
          <w:rFonts w:cs="Arial"/>
        </w:rPr>
        <w:t>households thus far.  The</w:t>
      </w:r>
      <w:r>
        <w:rPr>
          <w:rFonts w:cs="Arial"/>
        </w:rPr>
        <w:t xml:space="preserve"> program</w:t>
      </w:r>
      <w:r w:rsidR="00796AB9">
        <w:rPr>
          <w:rFonts w:cs="Arial"/>
        </w:rPr>
        <w:t xml:space="preserve"> objective is to provide decent affordable housing with an outcome of accessibility/availability.</w:t>
      </w:r>
    </w:p>
    <w:p w:rsidR="00361F25" w:rsidRDefault="00796AB9">
      <w:pPr>
        <w:spacing w:beforeAutospacing="1" w:afterAutospacing="1"/>
        <w:rPr>
          <w:rFonts w:cs="Arial"/>
        </w:rPr>
      </w:pPr>
      <w:r>
        <w:rPr>
          <w:rFonts w:cs="Arial"/>
        </w:rPr>
        <w:t>Enid reasonably expects CDBG resources and some local revenue to address identified needs. The City may issue Certification of Consistency to the Consolidated Plan for other federal application assistance when development proposals comp</w:t>
      </w:r>
      <w:r w:rsidR="00E665E2">
        <w:rPr>
          <w:rFonts w:cs="Arial"/>
        </w:rPr>
        <w:t>le</w:t>
      </w:r>
      <w:r>
        <w:rPr>
          <w:rFonts w:cs="Arial"/>
        </w:rPr>
        <w:t>ment affordable housing priorities and objectives of the Annual Plan.  Although a low CDBG priority, affordable rental development</w:t>
      </w:r>
      <w:r w:rsidR="00E665E2">
        <w:rPr>
          <w:rFonts w:cs="Arial"/>
        </w:rPr>
        <w:t>,</w:t>
      </w:r>
      <w:r>
        <w:rPr>
          <w:rFonts w:cs="Arial"/>
        </w:rPr>
        <w:t xml:space="preserve"> and rehabilitation is strongly encouraged and the need has increased during this consolidated plan period.   Nonprofit and/or for-profit development enterprises can apply for competitive housing resources such as HOME, Low Income Housing Tax Credits, Federal Home Loan Bank of Topeka-Affordable Housing Program, State Housing Trust Fund, USHUD Youth Build, local faith-based initiatives similar to Group Work Camps, and/or REI's various housing programs.</w:t>
      </w:r>
    </w:p>
    <w:p w:rsidR="00361F25" w:rsidRDefault="00796AB9">
      <w:pPr>
        <w:spacing w:beforeAutospacing="1" w:afterAutospacing="1"/>
        <w:rPr>
          <w:rFonts w:cs="Arial"/>
        </w:rPr>
      </w:pPr>
      <w:r>
        <w:rPr>
          <w:rFonts w:cs="Arial"/>
        </w:rPr>
        <w:t>Organizations receiving CDBG assistance are encouraged to purs</w:t>
      </w:r>
      <w:r w:rsidR="00E665E2">
        <w:rPr>
          <w:rFonts w:cs="Arial"/>
        </w:rPr>
        <w:t>u</w:t>
      </w:r>
      <w:r>
        <w:rPr>
          <w:rFonts w:cs="Arial"/>
        </w:rPr>
        <w:t>e additional leveraging funds through avenues, such as private donations, competitive grants, foundations</w:t>
      </w:r>
      <w:r w:rsidR="00E665E2">
        <w:rPr>
          <w:rFonts w:cs="Arial"/>
        </w:rPr>
        <w:t>,</w:t>
      </w:r>
      <w:r>
        <w:rPr>
          <w:rFonts w:cs="Arial"/>
        </w:rPr>
        <w:t xml:space="preserve"> or federal programs.  The proposed public facility improvement, public services, and housing activities in the 20</w:t>
      </w:r>
      <w:r w:rsidR="00EA3349">
        <w:rPr>
          <w:rFonts w:cs="Arial"/>
        </w:rPr>
        <w:t>2</w:t>
      </w:r>
      <w:r w:rsidR="00295683">
        <w:rPr>
          <w:rFonts w:cs="Arial"/>
        </w:rPr>
        <w:t>2</w:t>
      </w:r>
      <w:r>
        <w:rPr>
          <w:rFonts w:cs="Arial"/>
        </w:rPr>
        <w:t xml:space="preserve"> funding cycle will leverage over $1,</w:t>
      </w:r>
      <w:r w:rsidR="00BB7FFB">
        <w:rPr>
          <w:rFonts w:cs="Arial"/>
        </w:rPr>
        <w:t>00</w:t>
      </w:r>
      <w:r>
        <w:rPr>
          <w:rFonts w:cs="Arial"/>
        </w:rPr>
        <w:t>0,000.00 with their CDBG funding.   </w:t>
      </w:r>
    </w:p>
    <w:p w:rsidR="00361F25" w:rsidRDefault="00796AB9">
      <w:pPr>
        <w:spacing w:beforeAutospacing="1" w:afterAutospacing="1"/>
        <w:rPr>
          <w:rFonts w:cs="Arial"/>
        </w:rPr>
      </w:pPr>
      <w:r>
        <w:rPr>
          <w:rFonts w:cs="Arial"/>
        </w:rPr>
        <w:t>The City of Enid addresses priority areas of removal of architectural barriers for those with disabilities and the rehabilitation of existing owner units including emergency repairs to prevent homelessness.</w:t>
      </w:r>
    </w:p>
    <w:p w:rsidR="00361F25" w:rsidRDefault="00796AB9">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rsidR="00361F25" w:rsidRDefault="00361F25">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361F25">
        <w:trPr>
          <w:cantSplit/>
        </w:trPr>
        <w:tc>
          <w:tcPr>
            <w:tcW w:w="4081" w:type="dxa"/>
          </w:tcPr>
          <w:p w:rsidR="00361F25" w:rsidRDefault="006E7007">
            <w:pPr>
              <w:keepNext/>
              <w:widowControl w:val="0"/>
              <w:jc w:val="center"/>
              <w:rPr>
                <w:b/>
              </w:rPr>
            </w:pPr>
            <w:r>
              <w:rPr>
                <w:b/>
              </w:rPr>
              <w:t>Number of</w:t>
            </w:r>
            <w:r w:rsidR="00796AB9">
              <w:rPr>
                <w:b/>
              </w:rPr>
              <w:t xml:space="preserve"> Households Served</w:t>
            </w:r>
          </w:p>
        </w:tc>
        <w:tc>
          <w:tcPr>
            <w:tcW w:w="1859" w:type="dxa"/>
          </w:tcPr>
          <w:p w:rsidR="00361F25" w:rsidRDefault="00796AB9">
            <w:pPr>
              <w:keepNext/>
              <w:widowControl w:val="0"/>
              <w:jc w:val="center"/>
              <w:rPr>
                <w:b/>
              </w:rPr>
            </w:pPr>
            <w:r>
              <w:rPr>
                <w:b/>
              </w:rPr>
              <w:t>CDBG Actual</w:t>
            </w:r>
          </w:p>
        </w:tc>
        <w:tc>
          <w:tcPr>
            <w:tcW w:w="1915" w:type="dxa"/>
            <w:gridSpan w:val="2"/>
          </w:tcPr>
          <w:p w:rsidR="00361F25" w:rsidRDefault="00796AB9">
            <w:pPr>
              <w:keepNext/>
              <w:widowControl w:val="0"/>
              <w:jc w:val="center"/>
              <w:rPr>
                <w:b/>
              </w:rPr>
            </w:pPr>
            <w:r>
              <w:rPr>
                <w:b/>
              </w:rPr>
              <w:t>HOME Actual</w:t>
            </w:r>
          </w:p>
        </w:tc>
      </w:tr>
      <w:tr w:rsidR="00361F25">
        <w:trPr>
          <w:gridAfter w:val="1"/>
          <w:wAfter w:w="25" w:type="dxa"/>
          <w:cantSplit/>
        </w:trPr>
        <w:tc>
          <w:tcPr>
            <w:tcW w:w="4081" w:type="dxa"/>
            <w:vAlign w:val="bottom"/>
          </w:tcPr>
          <w:p w:rsidR="00361F25" w:rsidRDefault="00796AB9">
            <w:pPr>
              <w:spacing w:beforeAutospacing="1" w:afterAutospacing="1"/>
            </w:pPr>
            <w:r>
              <w:rPr>
                <w:color w:val="000000"/>
              </w:rPr>
              <w:t>Extremely Low-income</w:t>
            </w:r>
          </w:p>
        </w:tc>
        <w:tc>
          <w:tcPr>
            <w:tcW w:w="1859" w:type="dxa"/>
            <w:vAlign w:val="bottom"/>
          </w:tcPr>
          <w:p w:rsidR="00361F25" w:rsidRPr="00E45704" w:rsidRDefault="007B1205">
            <w:pPr>
              <w:spacing w:beforeAutospacing="1" w:afterAutospacing="1"/>
              <w:jc w:val="right"/>
            </w:pPr>
            <w:r>
              <w:rPr>
                <w:color w:val="000000"/>
              </w:rPr>
              <w:t>15</w:t>
            </w:r>
          </w:p>
        </w:tc>
        <w:tc>
          <w:tcPr>
            <w:tcW w:w="1890" w:type="dxa"/>
            <w:vAlign w:val="bottom"/>
          </w:tcPr>
          <w:p w:rsidR="00361F25" w:rsidRPr="00E45704" w:rsidRDefault="00796AB9">
            <w:pPr>
              <w:spacing w:beforeAutospacing="1" w:afterAutospacing="1"/>
              <w:jc w:val="right"/>
            </w:pPr>
            <w:r w:rsidRPr="00E45704">
              <w:rPr>
                <w:color w:val="000000"/>
              </w:rPr>
              <w:t>0</w:t>
            </w:r>
          </w:p>
        </w:tc>
      </w:tr>
      <w:tr w:rsidR="00361F25">
        <w:trPr>
          <w:gridAfter w:val="1"/>
          <w:wAfter w:w="25" w:type="dxa"/>
          <w:cantSplit/>
        </w:trPr>
        <w:tc>
          <w:tcPr>
            <w:tcW w:w="4081" w:type="dxa"/>
            <w:vAlign w:val="bottom"/>
          </w:tcPr>
          <w:p w:rsidR="00361F25" w:rsidRDefault="00796AB9">
            <w:pPr>
              <w:spacing w:beforeAutospacing="1" w:afterAutospacing="1"/>
            </w:pPr>
            <w:r>
              <w:rPr>
                <w:color w:val="000000"/>
              </w:rPr>
              <w:t>Low-income</w:t>
            </w:r>
          </w:p>
        </w:tc>
        <w:tc>
          <w:tcPr>
            <w:tcW w:w="1859" w:type="dxa"/>
            <w:vAlign w:val="bottom"/>
          </w:tcPr>
          <w:p w:rsidR="00361F25" w:rsidRDefault="007B1205">
            <w:pPr>
              <w:spacing w:beforeAutospacing="1" w:afterAutospacing="1"/>
              <w:jc w:val="right"/>
            </w:pPr>
            <w:r>
              <w:rPr>
                <w:color w:val="000000"/>
              </w:rPr>
              <w:t>6</w:t>
            </w:r>
          </w:p>
        </w:tc>
        <w:tc>
          <w:tcPr>
            <w:tcW w:w="1890" w:type="dxa"/>
            <w:vAlign w:val="bottom"/>
          </w:tcPr>
          <w:p w:rsidR="00361F25" w:rsidRDefault="00796AB9">
            <w:pPr>
              <w:spacing w:beforeAutospacing="1" w:afterAutospacing="1"/>
              <w:jc w:val="right"/>
            </w:pPr>
            <w:r>
              <w:rPr>
                <w:color w:val="000000"/>
              </w:rPr>
              <w:t>0</w:t>
            </w:r>
          </w:p>
        </w:tc>
      </w:tr>
      <w:tr w:rsidR="00361F25">
        <w:trPr>
          <w:gridAfter w:val="1"/>
          <w:wAfter w:w="25" w:type="dxa"/>
          <w:cantSplit/>
        </w:trPr>
        <w:tc>
          <w:tcPr>
            <w:tcW w:w="4081" w:type="dxa"/>
            <w:vAlign w:val="bottom"/>
          </w:tcPr>
          <w:p w:rsidR="00361F25" w:rsidRDefault="00796AB9">
            <w:pPr>
              <w:spacing w:beforeAutospacing="1" w:afterAutospacing="1"/>
            </w:pPr>
            <w:r>
              <w:rPr>
                <w:color w:val="000000"/>
              </w:rPr>
              <w:t>Moderate-income</w:t>
            </w:r>
          </w:p>
        </w:tc>
        <w:tc>
          <w:tcPr>
            <w:tcW w:w="1859" w:type="dxa"/>
            <w:vAlign w:val="bottom"/>
          </w:tcPr>
          <w:p w:rsidR="00361F25" w:rsidRDefault="007B1205">
            <w:pPr>
              <w:spacing w:beforeAutospacing="1" w:afterAutospacing="1"/>
              <w:jc w:val="right"/>
            </w:pPr>
            <w:r>
              <w:rPr>
                <w:color w:val="000000"/>
              </w:rPr>
              <w:t>5</w:t>
            </w:r>
          </w:p>
        </w:tc>
        <w:tc>
          <w:tcPr>
            <w:tcW w:w="1890" w:type="dxa"/>
            <w:vAlign w:val="bottom"/>
          </w:tcPr>
          <w:p w:rsidR="00361F25" w:rsidRDefault="00796AB9">
            <w:pPr>
              <w:spacing w:beforeAutospacing="1" w:afterAutospacing="1"/>
              <w:jc w:val="right"/>
            </w:pPr>
            <w:r>
              <w:rPr>
                <w:color w:val="000000"/>
              </w:rPr>
              <w:t>0</w:t>
            </w:r>
          </w:p>
        </w:tc>
      </w:tr>
      <w:tr w:rsidR="00361F25">
        <w:trPr>
          <w:gridAfter w:val="1"/>
          <w:wAfter w:w="25" w:type="dxa"/>
          <w:cantSplit/>
        </w:trPr>
        <w:tc>
          <w:tcPr>
            <w:tcW w:w="4081" w:type="dxa"/>
            <w:vAlign w:val="bottom"/>
          </w:tcPr>
          <w:p w:rsidR="00361F25" w:rsidRDefault="00796AB9">
            <w:pPr>
              <w:spacing w:beforeAutospacing="1" w:afterAutospacing="1"/>
            </w:pPr>
            <w:r>
              <w:rPr>
                <w:b/>
                <w:color w:val="000000"/>
              </w:rPr>
              <w:lastRenderedPageBreak/>
              <w:t>Total</w:t>
            </w:r>
          </w:p>
        </w:tc>
        <w:tc>
          <w:tcPr>
            <w:tcW w:w="1859" w:type="dxa"/>
            <w:vAlign w:val="bottom"/>
          </w:tcPr>
          <w:p w:rsidR="00361F25" w:rsidRDefault="007B1205">
            <w:pPr>
              <w:spacing w:beforeAutospacing="1" w:afterAutospacing="1"/>
              <w:jc w:val="right"/>
            </w:pPr>
            <w:r>
              <w:rPr>
                <w:b/>
                <w:color w:val="000000"/>
              </w:rPr>
              <w:t>26</w:t>
            </w:r>
          </w:p>
        </w:tc>
        <w:tc>
          <w:tcPr>
            <w:tcW w:w="1890" w:type="dxa"/>
            <w:vAlign w:val="bottom"/>
          </w:tcPr>
          <w:p w:rsidR="00361F25" w:rsidRDefault="00796AB9">
            <w:pPr>
              <w:spacing w:beforeAutospacing="1" w:afterAutospacing="1"/>
              <w:jc w:val="right"/>
            </w:pPr>
            <w:r>
              <w:rPr>
                <w:b/>
                <w:color w:val="000000"/>
              </w:rPr>
              <w:t>0</w:t>
            </w:r>
          </w:p>
        </w:tc>
      </w:tr>
    </w:tbl>
    <w:p w:rsidR="00361F25" w:rsidRDefault="00796AB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D1247D">
        <w:rPr>
          <w:rFonts w:asciiTheme="minorHAnsi" w:hAnsiTheme="minorHAnsi"/>
          <w:noProof/>
        </w:rPr>
        <w:t>7</w:t>
      </w:r>
      <w:r>
        <w:rPr>
          <w:rFonts w:asciiTheme="minorHAnsi" w:hAnsiTheme="minorHAnsi"/>
        </w:rPr>
        <w:fldChar w:fldCharType="end"/>
      </w:r>
      <w:r>
        <w:rPr>
          <w:rFonts w:asciiTheme="minorHAnsi" w:hAnsiTheme="minorHAnsi"/>
        </w:rPr>
        <w:t xml:space="preserve"> – Number of Households Served</w:t>
      </w:r>
    </w:p>
    <w:p w:rsidR="00361F25" w:rsidRDefault="00361F25">
      <w:pPr>
        <w:widowControl w:val="0"/>
        <w:spacing w:line="204" w:lineRule="auto"/>
        <w:rPr>
          <w:b/>
          <w:sz w:val="24"/>
          <w:szCs w:val="24"/>
        </w:rPr>
      </w:pPr>
    </w:p>
    <w:p w:rsidR="00361F25" w:rsidRDefault="00361F25">
      <w:pPr>
        <w:widowControl w:val="0"/>
        <w:spacing w:line="204" w:lineRule="auto"/>
        <w:rPr>
          <w:b/>
          <w:sz w:val="24"/>
          <w:szCs w:val="24"/>
        </w:rPr>
      </w:pPr>
    </w:p>
    <w:p w:rsidR="00361F25" w:rsidRDefault="00796AB9">
      <w:pPr>
        <w:widowControl w:val="0"/>
        <w:spacing w:line="204" w:lineRule="auto"/>
        <w:rPr>
          <w:b/>
          <w:sz w:val="24"/>
          <w:szCs w:val="24"/>
        </w:rPr>
      </w:pPr>
      <w:r>
        <w:rPr>
          <w:b/>
          <w:sz w:val="24"/>
          <w:szCs w:val="24"/>
        </w:rPr>
        <w:t>Narrative Information</w:t>
      </w:r>
    </w:p>
    <w:p w:rsidR="00361F25" w:rsidRDefault="00796AB9">
      <w:pPr>
        <w:spacing w:beforeAutospacing="1" w:afterAutospacing="1"/>
        <w:rPr>
          <w:rFonts w:cs="Arial"/>
        </w:rPr>
      </w:pPr>
      <w:r>
        <w:rPr>
          <w:rFonts w:cs="Arial"/>
        </w:rPr>
        <w:t>The City of Enid annually assesses its progress in meeting goals outlined in the 201</w:t>
      </w:r>
      <w:r w:rsidR="00470519">
        <w:rPr>
          <w:rFonts w:cs="Arial"/>
        </w:rPr>
        <w:t>8</w:t>
      </w:r>
      <w:r>
        <w:rPr>
          <w:rFonts w:cs="Arial"/>
        </w:rPr>
        <w:t>-2022 Five Year Consolidated Plan through development of the Consolidated Annual Performance Evaluation Report (CAPER). The CAPER provides an opportunity for the City to evaluate the performance of its programs and services, and to determine whether adjustments to the current 5-year goals are needed. The City looks to performance in a given year, and trends over time, to inform and calibrate future goals and outcomes. The City will continue to prioritize homeless prevention opportunities for low to moderate income families.  Decreased and lack of adequate funding has impacted and will continue to negatively impact community development, economic development and other services provided that depend greatly upon CDBG funding.  The City of Enid will continue to work closely with Community Development Support Association (CDSA) and other service providing agencies in pursuing additonal affordable housing opportunites.</w:t>
      </w:r>
    </w:p>
    <w:p w:rsidR="00361F25" w:rsidRDefault="00361F25">
      <w:pPr>
        <w:rPr>
          <w:rFonts w:cs="Arial"/>
        </w:rPr>
      </w:pPr>
    </w:p>
    <w:p w:rsidR="00361F25" w:rsidRDefault="00361F25">
      <w:pPr>
        <w:pStyle w:val="Heading2"/>
        <w:pageBreakBefore/>
        <w:rPr>
          <w:rFonts w:ascii="Calibri" w:hAnsi="Calibri"/>
          <w:i w:val="0"/>
        </w:rPr>
        <w:sectPr w:rsidR="00361F25">
          <w:pgSz w:w="12240" w:h="15840" w:code="1"/>
          <w:pgMar w:top="1440" w:right="1440" w:bottom="1440" w:left="1440" w:header="720" w:footer="720" w:gutter="0"/>
          <w:cols w:space="720"/>
          <w:docGrid w:linePitch="360"/>
        </w:sectPr>
      </w:pPr>
    </w:p>
    <w:p w:rsidR="00361F25" w:rsidRDefault="00796AB9">
      <w:pPr>
        <w:pStyle w:val="Heading2"/>
        <w:pageBreakBefore/>
        <w:widowControl w:val="0"/>
        <w:rPr>
          <w:rFonts w:ascii="Calibri" w:hAnsi="Calibri"/>
          <w:i w:val="0"/>
        </w:rPr>
      </w:pPr>
      <w:bookmarkStart w:id="18" w:name="_Toc143516188"/>
      <w:bookmarkEnd w:id="16"/>
      <w:r>
        <w:rPr>
          <w:rFonts w:ascii="Calibri" w:hAnsi="Calibri"/>
          <w:i w:val="0"/>
        </w:rPr>
        <w:lastRenderedPageBreak/>
        <w:t>CR-25 - Homeless and Other Special Needs 91.220(d, e); 91.320(d, e); 91.520(c)</w:t>
      </w:r>
      <w:bookmarkEnd w:id="18"/>
    </w:p>
    <w:p w:rsidR="00361F25" w:rsidRDefault="00796AB9">
      <w:pPr>
        <w:keepNext/>
        <w:widowControl w:val="0"/>
        <w:rPr>
          <w:b/>
          <w:sz w:val="24"/>
          <w:szCs w:val="24"/>
        </w:rPr>
      </w:pPr>
      <w:r>
        <w:rPr>
          <w:b/>
          <w:sz w:val="24"/>
          <w:szCs w:val="24"/>
        </w:rPr>
        <w:t>Evaluate the jurisdiction’s progress in meeting its specific objectives for reducing and ending homelessness through:</w:t>
      </w:r>
    </w:p>
    <w:p w:rsidR="00361F25" w:rsidRDefault="00796AB9">
      <w:pPr>
        <w:widowControl w:val="0"/>
        <w:rPr>
          <w:b/>
          <w:sz w:val="24"/>
          <w:szCs w:val="24"/>
        </w:rPr>
      </w:pPr>
      <w:r>
        <w:rPr>
          <w:b/>
          <w:sz w:val="24"/>
          <w:szCs w:val="24"/>
        </w:rPr>
        <w:t>Reaching out to homeless persons (especially unsheltered persons) and assessing their individual needs</w:t>
      </w:r>
    </w:p>
    <w:p w:rsidR="00361F25" w:rsidRDefault="00796AB9">
      <w:pPr>
        <w:widowControl w:val="0"/>
        <w:spacing w:beforeAutospacing="1" w:afterAutospacing="1"/>
        <w:rPr>
          <w:rFonts w:cs="Arial"/>
        </w:rPr>
      </w:pPr>
      <w:r>
        <w:rPr>
          <w:rFonts w:cs="Arial"/>
        </w:rPr>
        <w:t>The City of Enid supports the national movement to end chronic homelessness.  Organizations in Enid are working towards addressing homelessness by partnering with the North Central Oklahoma Continuum of Care and have adopted a plan to end homelessness.  The City of Enid faces the barrier of limited funding, however, is committed to provide non-financial support to organizations such as YWCA, Salvation Army, Community Development Support Association, Forgotten Ministries, Hope Outreach and Youth and Family Services, that work with the North Central Oklahoma Continuum of Care to further the action to end chronic homelessness.  The City of Enid will take the following steps to assist: (1) staff awareness and knowledge of the plan, (2) make plan available to the public, (3) review plan annually and include key stakeholders in notification of CDBG process, and (4) offer technical training to interest agencies.</w:t>
      </w:r>
    </w:p>
    <w:p w:rsidR="00361F25" w:rsidRDefault="00796AB9">
      <w:pPr>
        <w:widowControl w:val="0"/>
        <w:spacing w:beforeAutospacing="1" w:afterAutospacing="1"/>
        <w:rPr>
          <w:rFonts w:cs="Arial"/>
        </w:rPr>
      </w:pPr>
      <w:r>
        <w:rPr>
          <w:rFonts w:cs="Arial"/>
        </w:rPr>
        <w:t xml:space="preserve">The City recognizes that the prevention of homelessness is a more efficient and less costly mechanism of support than back end services. As a result, the City </w:t>
      </w:r>
      <w:r w:rsidR="006E7007">
        <w:rPr>
          <w:rFonts w:cs="Arial"/>
        </w:rPr>
        <w:t>acted</w:t>
      </w:r>
      <w:r>
        <w:rPr>
          <w:rFonts w:cs="Arial"/>
        </w:rPr>
        <w:t xml:space="preserve"> to foster and maintain affordable housing by establishing programs and by providing funding assistance to Community Housing Development Organizations for homeless prevention efforts in the form of barrier removal and emergency housing repairs for low-income households.</w:t>
      </w:r>
    </w:p>
    <w:p w:rsidR="00361F25" w:rsidRDefault="00796AB9">
      <w:pPr>
        <w:widowControl w:val="0"/>
        <w:rPr>
          <w:b/>
          <w:sz w:val="24"/>
          <w:szCs w:val="24"/>
        </w:rPr>
      </w:pPr>
      <w:r>
        <w:rPr>
          <w:b/>
          <w:sz w:val="24"/>
          <w:szCs w:val="24"/>
        </w:rPr>
        <w:t>Addressing the emergency shelter and transitional housing needs of homeless persons</w:t>
      </w:r>
    </w:p>
    <w:p w:rsidR="00361F25" w:rsidRDefault="00796AB9">
      <w:pPr>
        <w:widowControl w:val="0"/>
        <w:spacing w:beforeAutospacing="1" w:afterAutospacing="1"/>
        <w:rPr>
          <w:rFonts w:cs="Arial"/>
        </w:rPr>
      </w:pPr>
      <w:r>
        <w:rPr>
          <w:rFonts w:cs="Arial"/>
        </w:rPr>
        <w:t xml:space="preserve">To prevent homelessness, the City of Enid attempts to keep families in their homes by offering emergency repair assistance through CDSA.  The City of Enid also has access to the North Central Oklahoma Continuum of Care 10-year plan to end homelessness available for the public. Many non-profit service providers assist with emergency shelter and transitional housing needs of homeless persons in the community.  The CDBG </w:t>
      </w:r>
      <w:r w:rsidR="00BF5A2B">
        <w:rPr>
          <w:rFonts w:cs="Arial"/>
        </w:rPr>
        <w:t>Coordinator</w:t>
      </w:r>
      <w:r>
        <w:rPr>
          <w:rFonts w:cs="Arial"/>
        </w:rPr>
        <w:t xml:space="preserve"> provides resource referrals to those in need.   </w:t>
      </w:r>
    </w:p>
    <w:p w:rsidR="00361F25" w:rsidRDefault="00796AB9">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rsidR="00361F25" w:rsidRDefault="00796AB9">
      <w:pPr>
        <w:widowControl w:val="0"/>
        <w:spacing w:beforeAutospacing="1" w:afterAutospacing="1"/>
        <w:rPr>
          <w:rFonts w:cs="Arial"/>
        </w:rPr>
      </w:pPr>
      <w:r>
        <w:rPr>
          <w:rFonts w:cs="Arial"/>
        </w:rPr>
        <w:t>The City of Enid continues its commitment to create diverse housing opportunities and ensure the availability and affordability of a variety of housing options by collaborating with the development community and housing organizations to build affordable housing as demonstrated with the partnership on two development projects. CDSA continues to offer a down payment assistance program for low to moderate income households to assist families with the purchase of homes. </w:t>
      </w:r>
    </w:p>
    <w:p w:rsidR="00361F25" w:rsidRDefault="00796AB9">
      <w:pPr>
        <w:widowControl w:val="0"/>
        <w:spacing w:beforeAutospacing="1" w:afterAutospacing="1"/>
        <w:rPr>
          <w:rFonts w:cs="Arial"/>
        </w:rPr>
      </w:pPr>
      <w:r>
        <w:rPr>
          <w:rFonts w:cs="Arial"/>
        </w:rPr>
        <w:t xml:space="preserve">While the entitlement amount that the City recieves for CDBG is inadedequte to address all homeless </w:t>
      </w:r>
      <w:r>
        <w:rPr>
          <w:rFonts w:cs="Arial"/>
        </w:rPr>
        <w:lastRenderedPageBreak/>
        <w:t xml:space="preserve">needs, funds allocated toward emergency repair and barriers removal through CDSA assists individuals to remain in their homes and avoid the prospect of homelessness.  In total, the </w:t>
      </w:r>
      <w:r w:rsidR="00B866F0">
        <w:rPr>
          <w:rFonts w:cs="Arial"/>
        </w:rPr>
        <w:t>City allocated</w:t>
      </w:r>
      <w:r>
        <w:rPr>
          <w:rFonts w:cs="Arial"/>
        </w:rPr>
        <w:t xml:space="preserve"> $</w:t>
      </w:r>
      <w:r w:rsidR="00540E17">
        <w:rPr>
          <w:rFonts w:cs="Arial"/>
        </w:rPr>
        <w:t>8</w:t>
      </w:r>
      <w:r>
        <w:rPr>
          <w:rFonts w:cs="Arial"/>
        </w:rPr>
        <w:t>5,000 to assist with housing rehabilitation needs through CDSA during the fiscal year 20</w:t>
      </w:r>
      <w:r w:rsidR="00540E17">
        <w:rPr>
          <w:rFonts w:cs="Arial"/>
        </w:rPr>
        <w:t>2</w:t>
      </w:r>
      <w:r w:rsidR="00295683">
        <w:rPr>
          <w:rFonts w:cs="Arial"/>
        </w:rPr>
        <w:t>2</w:t>
      </w:r>
      <w:r>
        <w:rPr>
          <w:rFonts w:cs="Arial"/>
        </w:rPr>
        <w:t>.</w:t>
      </w:r>
    </w:p>
    <w:p w:rsidR="00361F25" w:rsidRDefault="00796AB9">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361F25" w:rsidRDefault="00796AB9">
      <w:pPr>
        <w:widowControl w:val="0"/>
        <w:spacing w:beforeAutospacing="1" w:afterAutospacing="1"/>
        <w:rPr>
          <w:rFonts w:cs="Arial"/>
        </w:rPr>
      </w:pPr>
      <w:r>
        <w:rPr>
          <w:rFonts w:cs="Arial"/>
        </w:rPr>
        <w:t>While the City of Enid does not receive emergency shelter grants funds directly, the City desires to support agencies and shelters who address and provide homeless needs. As part of the North Central Oklahoma Continuum of Care, the City supports their efforts to address homelessness and serves on the North Central Continuum of Care board.  The City has an official Memorandum of Understanding with the Continuum and the CDBG staff serves on the Continuum’s Ten (10) year plan to end homelessness committee.  By educating staff and offering support, the City hopes to continue collaborative efforts to pursue additional funding to address homelessness.</w:t>
      </w:r>
    </w:p>
    <w:p w:rsidR="00361F25" w:rsidRDefault="00361F25">
      <w:pPr>
        <w:widowControl w:val="0"/>
        <w:rPr>
          <w:rFonts w:cs="Arial"/>
          <w:szCs w:val="26"/>
        </w:rPr>
      </w:pPr>
    </w:p>
    <w:p w:rsidR="00361F25" w:rsidRDefault="00796AB9">
      <w:pPr>
        <w:pStyle w:val="Heading2"/>
        <w:pageBreakBefore/>
        <w:widowControl w:val="0"/>
        <w:rPr>
          <w:rFonts w:ascii="Calibri" w:hAnsi="Calibri"/>
          <w:i w:val="0"/>
        </w:rPr>
      </w:pPr>
      <w:bookmarkStart w:id="19" w:name="_Toc143516189"/>
      <w:r>
        <w:rPr>
          <w:rFonts w:ascii="Calibri" w:hAnsi="Calibri"/>
          <w:i w:val="0"/>
        </w:rPr>
        <w:lastRenderedPageBreak/>
        <w:t>CR-30 - Public Housing 91.220(h); 91.320(j)</w:t>
      </w:r>
      <w:bookmarkEnd w:id="19"/>
    </w:p>
    <w:p w:rsidR="00361F25" w:rsidRDefault="00796AB9">
      <w:pPr>
        <w:keepNext/>
        <w:widowControl w:val="0"/>
        <w:rPr>
          <w:b/>
          <w:sz w:val="24"/>
          <w:szCs w:val="24"/>
        </w:rPr>
      </w:pPr>
      <w:r>
        <w:rPr>
          <w:b/>
          <w:sz w:val="24"/>
          <w:szCs w:val="24"/>
        </w:rPr>
        <w:t>Actions taken to address the needs of public housing</w:t>
      </w:r>
    </w:p>
    <w:p w:rsidR="00361F25" w:rsidRDefault="00796AB9">
      <w:pPr>
        <w:keepNext/>
        <w:widowControl w:val="0"/>
        <w:spacing w:beforeAutospacing="1" w:afterAutospacing="1"/>
        <w:rPr>
          <w:rFonts w:cs="Arial"/>
        </w:rPr>
      </w:pPr>
      <w:r>
        <w:rPr>
          <w:rFonts w:cs="Arial"/>
        </w:rPr>
        <w:t xml:space="preserve">The City of Enid does not have a public housing agency that it works directly with; however, there is a local organization (CHDO), Community Development Support Association (CDSA), </w:t>
      </w:r>
      <w:r w:rsidRPr="006E7007">
        <w:rPr>
          <w:rFonts w:cs="Arial"/>
        </w:rPr>
        <w:t>which receives HOME funds</w:t>
      </w:r>
      <w:r w:rsidR="006E7007" w:rsidRPr="006E7007">
        <w:rPr>
          <w:rFonts w:cs="Arial"/>
        </w:rPr>
        <w:t xml:space="preserve"> from the Oklahoma Housing Finance Agency (OHFA)</w:t>
      </w:r>
      <w:r w:rsidRPr="006E7007">
        <w:rPr>
          <w:rFonts w:cs="Arial"/>
        </w:rPr>
        <w:t>.  CDSA provides services to residents to help them become more involved in management and participate in homeownership. T</w:t>
      </w:r>
      <w:r>
        <w:rPr>
          <w:rFonts w:cs="Arial"/>
        </w:rPr>
        <w:t>his organization is not designated as troubled by HUD and is not performing poorly.  In fact, CDSA is operating astoundingly. </w:t>
      </w:r>
    </w:p>
    <w:p w:rsidR="00361F25" w:rsidRDefault="00796AB9">
      <w:pPr>
        <w:keepNext/>
        <w:widowControl w:val="0"/>
        <w:spacing w:beforeAutospacing="1" w:afterAutospacing="1"/>
        <w:rPr>
          <w:rFonts w:cs="Arial"/>
        </w:rPr>
      </w:pPr>
      <w:r>
        <w:rPr>
          <w:rFonts w:cs="Arial"/>
        </w:rPr>
        <w:t>Even though Enid does not have a public housing authority, the City of Enid works closely with the Community Development Support Association (CDSA) in pursuing additional public housing.  In 2007, the City of Enid approved site plans for the Roosevelt Park Apartments, proposed by a developer in a qualified census tract. The City also created a tax increment finance district to help fund the construction of the affordable housing complex, which includes 48 apartments.  The project was completed and is at capacity offering affordable housing to the citizens of Enid. In addition to assisting with</w:t>
      </w:r>
      <w:r w:rsidR="00E665E2">
        <w:rPr>
          <w:rFonts w:cs="Arial"/>
        </w:rPr>
        <w:t xml:space="preserve"> the</w:t>
      </w:r>
      <w:r>
        <w:rPr>
          <w:rFonts w:cs="Arial"/>
        </w:rPr>
        <w:t xml:space="preserve"> development of the </w:t>
      </w:r>
      <w:r w:rsidRPr="00B75A37">
        <w:rPr>
          <w:rFonts w:cs="Arial"/>
        </w:rPr>
        <w:t>Roosevelt Park Apartments</w:t>
      </w:r>
      <w:r w:rsidR="00F330DA" w:rsidRPr="00B75A37">
        <w:rPr>
          <w:rFonts w:cs="Arial"/>
        </w:rPr>
        <w:t>, completed in 2009</w:t>
      </w:r>
      <w:r w:rsidRPr="00B75A37">
        <w:rPr>
          <w:rFonts w:cs="Arial"/>
        </w:rPr>
        <w:t>,</w:t>
      </w:r>
      <w:r>
        <w:rPr>
          <w:rFonts w:cs="Arial"/>
        </w:rPr>
        <w:t xml:space="preserve"> the City of Enid worked with the Carland Group LLC, who proposed the east side redevelopment project consisting of 30 single family detached homes located on scattered sites in a low/moderate area.  To support the tax credit application for the redevelopment project, the City passed a resolution of support and transferred ownership of two in-fill lots </w:t>
      </w:r>
      <w:r w:rsidRPr="00B75A37">
        <w:rPr>
          <w:rFonts w:cs="Arial"/>
        </w:rPr>
        <w:t xml:space="preserve">for the project.  The project was approved for funding by the Oklahoma Housing Finance Authority, the </w:t>
      </w:r>
      <w:r w:rsidR="006E7007" w:rsidRPr="00B75A37">
        <w:rPr>
          <w:rFonts w:cs="Arial"/>
        </w:rPr>
        <w:t>single-family</w:t>
      </w:r>
      <w:r w:rsidRPr="00B75A37">
        <w:rPr>
          <w:rFonts w:cs="Arial"/>
        </w:rPr>
        <w:t xml:space="preserve"> dwellings in low income census tracts of the city </w:t>
      </w:r>
      <w:r w:rsidR="00B75A37" w:rsidRPr="00B75A37">
        <w:rPr>
          <w:rFonts w:cs="Arial"/>
        </w:rPr>
        <w:t>were</w:t>
      </w:r>
      <w:r w:rsidRPr="00B75A37">
        <w:rPr>
          <w:rFonts w:cs="Arial"/>
        </w:rPr>
        <w:t xml:space="preserve"> filled to capacity</w:t>
      </w:r>
      <w:r w:rsidR="00B75A37" w:rsidRPr="00B75A37">
        <w:rPr>
          <w:rFonts w:cs="Arial"/>
        </w:rPr>
        <w:t xml:space="preserve"> at that time. That project was completed and all units occupied at this time</w:t>
      </w:r>
      <w:r w:rsidRPr="00B75A37">
        <w:rPr>
          <w:rFonts w:cs="Arial"/>
        </w:rPr>
        <w:t xml:space="preserve">. </w:t>
      </w:r>
      <w:r w:rsidR="00B75A37" w:rsidRPr="00B75A37">
        <w:rPr>
          <w:rFonts w:cs="Arial"/>
        </w:rPr>
        <w:t xml:space="preserve">Carland Group, LLC, then proceeded development of </w:t>
      </w:r>
      <w:r w:rsidRPr="00B75A37">
        <w:rPr>
          <w:rFonts w:cs="Arial"/>
        </w:rPr>
        <w:t>the Forrest Ridge addit</w:t>
      </w:r>
      <w:r w:rsidR="00E665E2" w:rsidRPr="00B75A37">
        <w:rPr>
          <w:rFonts w:cs="Arial"/>
        </w:rPr>
        <w:t>i</w:t>
      </w:r>
      <w:r w:rsidRPr="00B75A37">
        <w:rPr>
          <w:rFonts w:cs="Arial"/>
        </w:rPr>
        <w:t>on</w:t>
      </w:r>
      <w:r w:rsidR="00B75A37" w:rsidRPr="00B75A37">
        <w:rPr>
          <w:rFonts w:cs="Arial"/>
        </w:rPr>
        <w:t>, another single-family dwelling in the same area of Enid, and has also completed this project, with all units occupied at this time.</w:t>
      </w:r>
    </w:p>
    <w:p w:rsidR="00B75A37" w:rsidRDefault="00B75A37">
      <w:pPr>
        <w:keepNext/>
        <w:widowControl w:val="0"/>
        <w:spacing w:beforeAutospacing="1" w:afterAutospacing="1"/>
        <w:rPr>
          <w:rFonts w:cs="Arial"/>
        </w:rPr>
      </w:pPr>
      <w:r>
        <w:rPr>
          <w:rFonts w:cs="Arial"/>
        </w:rPr>
        <w:t>Two separate developers are currently as of this FY 202</w:t>
      </w:r>
      <w:r w:rsidR="00295683">
        <w:rPr>
          <w:rFonts w:cs="Arial"/>
        </w:rPr>
        <w:t>2</w:t>
      </w:r>
      <w:r>
        <w:rPr>
          <w:rFonts w:cs="Arial"/>
        </w:rPr>
        <w:t xml:space="preserve"> report pursuing low income duplex units, one in the Forrest Ridge addition and the other in another </w:t>
      </w:r>
      <w:r w:rsidR="008417BE">
        <w:rPr>
          <w:rFonts w:cs="Arial"/>
        </w:rPr>
        <w:t>low-income</w:t>
      </w:r>
      <w:r>
        <w:rPr>
          <w:rFonts w:cs="Arial"/>
        </w:rPr>
        <w:t xml:space="preserve"> area of Enid.</w:t>
      </w:r>
    </w:p>
    <w:p w:rsidR="00361F25" w:rsidRDefault="00796AB9">
      <w:pPr>
        <w:widowControl w:val="0"/>
        <w:rPr>
          <w:b/>
          <w:sz w:val="24"/>
          <w:szCs w:val="24"/>
        </w:rPr>
      </w:pPr>
      <w:r>
        <w:rPr>
          <w:b/>
          <w:sz w:val="24"/>
          <w:szCs w:val="24"/>
        </w:rPr>
        <w:t>Actions taken to encourage public housing residents to become more involved in management and participate in homeownership</w:t>
      </w:r>
    </w:p>
    <w:p w:rsidR="00361F25" w:rsidRDefault="00796AB9">
      <w:pPr>
        <w:widowControl w:val="0"/>
        <w:spacing w:beforeAutospacing="1" w:afterAutospacing="1"/>
        <w:rPr>
          <w:rFonts w:cs="Arial"/>
        </w:rPr>
      </w:pPr>
      <w:r>
        <w:rPr>
          <w:rFonts w:cs="Arial"/>
        </w:rPr>
        <w:t>Enid does not have a public housing authority. However, the City does encourage participation in homebuyer classes offered by the local CHDO.  Mortgage underwriting has become more stringent over the past few years making it more difficult to achieve homeownership.  </w:t>
      </w:r>
    </w:p>
    <w:p w:rsidR="00361F25" w:rsidRDefault="00796AB9">
      <w:pPr>
        <w:widowControl w:val="0"/>
        <w:rPr>
          <w:b/>
          <w:sz w:val="24"/>
          <w:szCs w:val="24"/>
        </w:rPr>
      </w:pPr>
      <w:r>
        <w:rPr>
          <w:b/>
          <w:sz w:val="24"/>
          <w:szCs w:val="24"/>
        </w:rPr>
        <w:t>Actions taken to provide assistance to troubled PHAs</w:t>
      </w:r>
    </w:p>
    <w:p w:rsidR="00361F25" w:rsidRDefault="00796AB9">
      <w:pPr>
        <w:widowControl w:val="0"/>
        <w:spacing w:beforeAutospacing="1" w:afterAutospacing="1"/>
        <w:rPr>
          <w:rFonts w:cs="Arial"/>
        </w:rPr>
      </w:pPr>
      <w:r>
        <w:rPr>
          <w:rFonts w:cs="Arial"/>
        </w:rPr>
        <w:t>Enid does not have a public housing authority.</w:t>
      </w:r>
    </w:p>
    <w:p w:rsidR="00361F25" w:rsidRDefault="00796AB9">
      <w:pPr>
        <w:pStyle w:val="Heading2"/>
        <w:pageBreakBefore/>
        <w:widowControl w:val="0"/>
        <w:rPr>
          <w:rFonts w:ascii="Calibri" w:hAnsi="Calibri"/>
          <w:i w:val="0"/>
        </w:rPr>
      </w:pPr>
      <w:bookmarkStart w:id="20" w:name="_Toc143516190"/>
      <w:r>
        <w:rPr>
          <w:rFonts w:ascii="Calibri" w:hAnsi="Calibri"/>
          <w:i w:val="0"/>
        </w:rPr>
        <w:lastRenderedPageBreak/>
        <w:t>CR-35 - Other Actions 91.220(j)-(k); 91.320(i)-(j)</w:t>
      </w:r>
      <w:bookmarkEnd w:id="20"/>
    </w:p>
    <w:p w:rsidR="00361F25" w:rsidRDefault="00796AB9">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rsidR="00361F25" w:rsidRDefault="00796AB9">
      <w:pPr>
        <w:widowControl w:val="0"/>
        <w:spacing w:beforeAutospacing="1" w:afterAutospacing="1"/>
        <w:rPr>
          <w:rFonts w:cs="Arial"/>
        </w:rPr>
      </w:pPr>
      <w:r>
        <w:rPr>
          <w:rFonts w:cs="Arial"/>
        </w:rPr>
        <w:t>Barriers to affordable housing can be directly related to the supply and demand issues we currently face.  The need for housing is so great in this area that it causes the cost to acquire to rise.  Some affordable housing in Enid is not considered decent.  The City of Enid promotes decent affordable housing efforts however, the lack of state, local or federal regulations on the conditions to rent, the barrier will be difficult to overcome. Substandard housing laws for the state are outdated and do not address most issues causing substandard housing problems.  </w:t>
      </w:r>
    </w:p>
    <w:p w:rsidR="00361F25" w:rsidRDefault="00796AB9">
      <w:pPr>
        <w:widowControl w:val="0"/>
        <w:spacing w:beforeAutospacing="1" w:afterAutospacing="1"/>
        <w:rPr>
          <w:rFonts w:cs="Arial"/>
        </w:rPr>
      </w:pPr>
      <w:r>
        <w:rPr>
          <w:rFonts w:cs="Arial"/>
        </w:rPr>
        <w:t>Enid does not maintain public policies such as zoning, building codes, land use controls, fees or growth limitations that discourage the maintenance, improvement or development of affordable housing. The policies that Enid maintains are for public health and safety and have not been found to cause barriers to affordable housing.  Similarly, the City does not restrict return on investment associated with developing or operating residential properties. The issue of affordable housing has a lot to do with high construction costs, construction liabilities, high cost to maintain rental properties and increased lending approval practices. The City promotes development of rental housing for persons in the 50% and 60% MFI market segment, by: Increasing awareness of development opportunities in the city by marketing the Qualified Census Tract advantage to tax credit developers and results of housing market analysis</w:t>
      </w:r>
    </w:p>
    <w:p w:rsidR="00361F25" w:rsidRDefault="00796AB9">
      <w:pPr>
        <w:widowControl w:val="0"/>
        <w:numPr>
          <w:ilvl w:val="0"/>
          <w:numId w:val="3"/>
        </w:numPr>
        <w:spacing w:beforeAutospacing="1" w:afterAutospacing="1"/>
        <w:rPr>
          <w:rFonts w:cs="Arial"/>
        </w:rPr>
      </w:pPr>
      <w:r>
        <w:rPr>
          <w:rFonts w:cs="Arial"/>
        </w:rPr>
        <w:t>Providing “Resolutions of Support” and “Community Support” to proposed IRS Section 42 LIHTC proposals seeking competitive allocations of tax credits from the OHFA.</w:t>
      </w:r>
    </w:p>
    <w:p w:rsidR="00361F25" w:rsidRDefault="00796AB9">
      <w:pPr>
        <w:widowControl w:val="0"/>
        <w:numPr>
          <w:ilvl w:val="0"/>
          <w:numId w:val="3"/>
        </w:numPr>
        <w:spacing w:beforeAutospacing="1" w:afterAutospacing="1"/>
        <w:rPr>
          <w:rFonts w:cs="Arial"/>
        </w:rPr>
      </w:pPr>
      <w:r>
        <w:rPr>
          <w:rFonts w:cs="Arial"/>
        </w:rPr>
        <w:t>Examining possible contributions of direct value to developments such as; waiver of fees, tax abatements, public improvements and donations/discounts on real property and/or materials.</w:t>
      </w:r>
    </w:p>
    <w:p w:rsidR="00361F25" w:rsidRDefault="00796AB9">
      <w:pPr>
        <w:widowControl w:val="0"/>
        <w:rPr>
          <w:b/>
          <w:sz w:val="24"/>
          <w:szCs w:val="24"/>
        </w:rPr>
      </w:pPr>
      <w:r>
        <w:rPr>
          <w:b/>
          <w:sz w:val="24"/>
          <w:szCs w:val="24"/>
        </w:rPr>
        <w:t>Actions taken to address obstacles to meeting underserved needs.  91.220(k); 91.320(j)</w:t>
      </w:r>
    </w:p>
    <w:p w:rsidR="00C5448E" w:rsidRDefault="00796AB9">
      <w:pPr>
        <w:widowControl w:val="0"/>
        <w:spacing w:beforeAutospacing="1" w:afterAutospacing="1"/>
        <w:rPr>
          <w:rFonts w:cs="Arial"/>
        </w:rPr>
      </w:pPr>
      <w:r>
        <w:rPr>
          <w:rFonts w:cs="Arial"/>
        </w:rPr>
        <w:t>Expansion of homeownership within the community is hampered by the cost of entry-level for-sale housing units.  According to our</w:t>
      </w:r>
      <w:r w:rsidR="008959F6">
        <w:rPr>
          <w:rFonts w:cs="Arial"/>
        </w:rPr>
        <w:t xml:space="preserve"> most recent Housing Demand Study conducted in 2022</w:t>
      </w:r>
      <w:r w:rsidR="00FD6C05">
        <w:rPr>
          <w:rFonts w:cs="Arial"/>
        </w:rPr>
        <w:t xml:space="preserve"> by RDG Planning and Design recent construction of apartment complexes and single family detached housing is offering more affordable and varied options.</w:t>
      </w:r>
      <w:r w:rsidR="00266196">
        <w:rPr>
          <w:rFonts w:cs="Arial"/>
        </w:rPr>
        <w:t xml:space="preserve"> Housing is 63.3% owner occupied.</w:t>
      </w:r>
      <w:r w:rsidR="00FD6C05">
        <w:rPr>
          <w:rFonts w:cs="Arial"/>
        </w:rPr>
        <w:t xml:space="preserve"> </w:t>
      </w:r>
      <w:r w:rsidR="00F117FD" w:rsidRPr="00F117FD">
        <w:rPr>
          <w:rFonts w:cs="Arial"/>
        </w:rPr>
        <w:t>Current median home value</w:t>
      </w:r>
      <w:r w:rsidR="00F117FD">
        <w:rPr>
          <w:rFonts w:cs="Arial"/>
        </w:rPr>
        <w:t xml:space="preserve"> in Enid is $112,800, with a 1971 median year built. </w:t>
      </w:r>
      <w:r w:rsidR="00FD6C05" w:rsidRPr="00F117FD">
        <w:rPr>
          <w:rFonts w:cs="Arial"/>
        </w:rPr>
        <w:t> </w:t>
      </w:r>
      <w:r w:rsidR="00FD6C05" w:rsidRPr="00FD6C05">
        <w:rPr>
          <w:rFonts w:cs="Arial"/>
        </w:rPr>
        <w:t>Affordable homes</w:t>
      </w:r>
      <w:r w:rsidR="00FD6C05">
        <w:rPr>
          <w:rFonts w:cs="Arial"/>
        </w:rPr>
        <w:t xml:space="preserve"> in the $60,000 to $124,000 </w:t>
      </w:r>
      <w:r w:rsidR="00F117FD">
        <w:rPr>
          <w:rFonts w:cs="Arial"/>
        </w:rPr>
        <w:t xml:space="preserve">are the only range that Enid has a surplus to the demand for the Household Income level. Enid does have a lower than average cost burden for housing compared to other benchmark communities. </w:t>
      </w:r>
      <w:r w:rsidR="00266196">
        <w:rPr>
          <w:rFonts w:cs="Arial"/>
        </w:rPr>
        <w:t xml:space="preserve">Based on the 2013-2017 </w:t>
      </w:r>
      <w:r w:rsidR="00266196" w:rsidRPr="00266196">
        <w:rPr>
          <w:rFonts w:cs="Arial"/>
        </w:rPr>
        <w:t>Comprehensive Housing Affordability Strategy (</w:t>
      </w:r>
      <w:r w:rsidR="008417BE" w:rsidRPr="00266196">
        <w:rPr>
          <w:rFonts w:cs="Arial"/>
        </w:rPr>
        <w:t xml:space="preserve">CHAS) </w:t>
      </w:r>
      <w:r w:rsidR="008417BE">
        <w:rPr>
          <w:rFonts w:cs="Arial"/>
        </w:rPr>
        <w:t>data</w:t>
      </w:r>
      <w:r w:rsidR="00266196">
        <w:rPr>
          <w:rFonts w:cs="Arial"/>
        </w:rPr>
        <w:t xml:space="preserve"> the City of Enid has determined that no group, including low-moderate, are underserved below averages.</w:t>
      </w:r>
      <w:r w:rsidR="00C5448E">
        <w:rPr>
          <w:rFonts w:cs="Arial"/>
        </w:rPr>
        <w:t xml:space="preserve"> Of existing </w:t>
      </w:r>
      <w:r w:rsidR="008417BE">
        <w:rPr>
          <w:rFonts w:cs="Arial"/>
        </w:rPr>
        <w:t>stock,</w:t>
      </w:r>
      <w:r w:rsidR="00C5448E">
        <w:rPr>
          <w:rFonts w:cs="Arial"/>
        </w:rPr>
        <w:t xml:space="preserve"> the average </w:t>
      </w:r>
      <w:r w:rsidR="00C5448E" w:rsidRPr="00C5448E">
        <w:rPr>
          <w:rFonts w:cs="Arial"/>
        </w:rPr>
        <w:t xml:space="preserve">cost of a single-family home in Enid is $136,000. </w:t>
      </w:r>
      <w:r w:rsidRPr="00C5448E">
        <w:rPr>
          <w:rFonts w:cs="Arial"/>
        </w:rPr>
        <w:t>Current new single-family home prices at $160,000 and average new home sale prices of approximately $250,000 creates an affordability gap for median household incomes of $</w:t>
      </w:r>
      <w:r w:rsidR="00266196" w:rsidRPr="00C5448E">
        <w:rPr>
          <w:rFonts w:cs="Arial"/>
        </w:rPr>
        <w:t>48,853</w:t>
      </w:r>
      <w:r w:rsidRPr="00C5448E">
        <w:rPr>
          <w:rFonts w:cs="Arial"/>
        </w:rPr>
        <w:t xml:space="preserve">.  This gap is even larger for households of 2 to 4 persons with incomes at or below US HUD’s Garfield County income threshold for </w:t>
      </w:r>
      <w:r w:rsidR="006E7007" w:rsidRPr="00C5448E">
        <w:rPr>
          <w:rFonts w:cs="Arial"/>
        </w:rPr>
        <w:t>low- and moderate-income</w:t>
      </w:r>
      <w:r w:rsidRPr="00C5448E">
        <w:rPr>
          <w:rFonts w:cs="Arial"/>
        </w:rPr>
        <w:t xml:space="preserve"> families of $35,200 to $44,000.</w:t>
      </w:r>
      <w:r>
        <w:rPr>
          <w:rFonts w:cs="Arial"/>
        </w:rPr>
        <w:t xml:space="preserve">  To help alleviate the housing gap, the City plans to market and promote the housing market analysis to inform developers of the housing needs and provide incentives for development. </w:t>
      </w:r>
    </w:p>
    <w:p w:rsidR="00C5448E" w:rsidRDefault="00C5448E">
      <w:pPr>
        <w:widowControl w:val="0"/>
        <w:spacing w:beforeAutospacing="1" w:afterAutospacing="1"/>
        <w:rPr>
          <w:rFonts w:cs="Arial"/>
        </w:rPr>
      </w:pPr>
      <w:r>
        <w:rPr>
          <w:rFonts w:cs="Arial"/>
        </w:rPr>
        <w:lastRenderedPageBreak/>
        <w:t xml:space="preserve">Specific recommendations from the </w:t>
      </w:r>
      <w:r w:rsidRPr="00C5448E">
        <w:rPr>
          <w:rFonts w:cs="Arial"/>
        </w:rPr>
        <w:t xml:space="preserve">2022 </w:t>
      </w:r>
      <w:r>
        <w:rPr>
          <w:rFonts w:cs="Arial"/>
        </w:rPr>
        <w:t xml:space="preserve">Housing Study </w:t>
      </w:r>
      <w:r w:rsidRPr="00C5448E">
        <w:rPr>
          <w:rFonts w:cs="Arial"/>
        </w:rPr>
        <w:t>by RDG Planning and Design</w:t>
      </w:r>
      <w:r>
        <w:rPr>
          <w:rFonts w:cs="Arial"/>
        </w:rPr>
        <w:t xml:space="preserve"> </w:t>
      </w:r>
      <w:r w:rsidR="008417BE">
        <w:rPr>
          <w:rFonts w:cs="Arial"/>
        </w:rPr>
        <w:t>include focused areas of rehabilitation, demolition as needed, connecting infill lots, reasonable construction, and neighborhood improvement programs to improve more affordable housing stock for lower income citizens. City of Enid Code Enforcement, CDBG, and other departments are working together with community partners towards these goals.</w:t>
      </w:r>
    </w:p>
    <w:p w:rsidR="00361F25" w:rsidRDefault="00796AB9">
      <w:pPr>
        <w:widowControl w:val="0"/>
        <w:spacing w:beforeAutospacing="1" w:afterAutospacing="1"/>
        <w:rPr>
          <w:rFonts w:cs="Arial"/>
        </w:rPr>
      </w:pPr>
      <w:r>
        <w:rPr>
          <w:rFonts w:cs="Arial"/>
        </w:rPr>
        <w:t xml:space="preserve">Homeownership becomes more feasible for low-income households when down-payment assistance, below market interest rate mortgage loans, and/or homebuyer education is available.  In addition to the need for down payment, closing cost assistance, or interest subsidy, an </w:t>
      </w:r>
      <w:r w:rsidR="006E7007">
        <w:rPr>
          <w:rFonts w:cs="Arial"/>
        </w:rPr>
        <w:t>often-cited</w:t>
      </w:r>
      <w:r>
        <w:rPr>
          <w:rFonts w:cs="Arial"/>
        </w:rPr>
        <w:t xml:space="preserve"> homeownership barrier is poor credit or no credit history. To ease the purchase gap on the affordable housing market segment and address credit, the City encourages nonprofit and local banking partners to offer financial and/or homebuyer education and seek homebuyer assistance resources from OHFA’s HOME and SFMRB Programs, the FHLB’s AHP Program and REI’s down payment, closing cost and mortgage financing assistance programs. Similarly, the high cost of developing new rental properties developments results in contract rents unaffordable to low, very low and even </w:t>
      </w:r>
      <w:r w:rsidR="006E7007">
        <w:rPr>
          <w:rFonts w:cs="Arial"/>
        </w:rPr>
        <w:t>moderate-income</w:t>
      </w:r>
      <w:r>
        <w:rPr>
          <w:rFonts w:cs="Arial"/>
        </w:rPr>
        <w:t xml:space="preserve"> households. Higher development costs result in larger </w:t>
      </w:r>
      <w:r w:rsidR="006E7007">
        <w:rPr>
          <w:rFonts w:cs="Arial"/>
        </w:rPr>
        <w:t>long-term</w:t>
      </w:r>
      <w:r>
        <w:rPr>
          <w:rFonts w:cs="Arial"/>
        </w:rPr>
        <w:t xml:space="preserve"> mortgage amounts with higher monthly payments. In turn, higher contract rent structures are needed in order to produce adequate revenues to service debt.  Working closely with community development organizations, the City hopes to create additional tax credit projects to promote the development of affordable housing. To off-set the high development costs associated with affordable rental property development, nonprofit and for-profit development partners access state and national affordable housing grant and loan funds. This "soft" public financing can then be used by development entities to reduce and/or eliminate hard development costs and long-term debt resulting in cost savings that are passed on to low-income residents in the form of lower more affordable rents. </w:t>
      </w:r>
    </w:p>
    <w:p w:rsidR="00361F25" w:rsidRDefault="00796AB9">
      <w:pPr>
        <w:widowControl w:val="0"/>
        <w:rPr>
          <w:b/>
          <w:sz w:val="24"/>
          <w:szCs w:val="24"/>
        </w:rPr>
      </w:pPr>
      <w:r>
        <w:rPr>
          <w:b/>
          <w:sz w:val="24"/>
          <w:szCs w:val="24"/>
        </w:rPr>
        <w:t>Actions taken to reduce lead-based paint hazards. 91.220(k); 91.320(j)</w:t>
      </w:r>
    </w:p>
    <w:p w:rsidR="00361F25" w:rsidRDefault="00796AB9">
      <w:pPr>
        <w:widowControl w:val="0"/>
        <w:spacing w:beforeAutospacing="1" w:afterAutospacing="1"/>
        <w:rPr>
          <w:rFonts w:cs="Arial"/>
        </w:rPr>
      </w:pPr>
      <w:r>
        <w:rPr>
          <w:rFonts w:cs="Arial"/>
        </w:rPr>
        <w:t>Actions taken to reduce lead-based paint hazards in Enid are that requirements are incorporated with the use of any federal funding requiring a lead pain hazard evaluation and abatement.  CDBG funds can be used to mitigate.  </w:t>
      </w:r>
    </w:p>
    <w:p w:rsidR="00361F25" w:rsidRDefault="00796AB9">
      <w:pPr>
        <w:widowControl w:val="0"/>
        <w:spacing w:beforeAutospacing="1" w:afterAutospacing="1"/>
        <w:rPr>
          <w:rFonts w:cs="Arial"/>
        </w:rPr>
      </w:pPr>
      <w:r>
        <w:rPr>
          <w:rFonts w:cs="Arial"/>
        </w:rPr>
        <w:t xml:space="preserve">The City follows state and federal regulations prohibiting the use of </w:t>
      </w:r>
      <w:r w:rsidR="006E7007">
        <w:rPr>
          <w:rFonts w:cs="Arial"/>
        </w:rPr>
        <w:t>lead-based</w:t>
      </w:r>
      <w:r>
        <w:rPr>
          <w:rFonts w:cs="Arial"/>
        </w:rPr>
        <w:t xml:space="preserve"> paint (LBP) and relies on subrecipients to advise households receiving CDBG assistance. Staff distributes informational materials detailing the dangers of LBP at the local annual Home Show held in April and on-going basis through the department. Enid has no real time data linking income to the incidence of residential lead-based paint hazards. However, the City estimates that 5,697 units built prior to 1978 contain lead-based paint. 68% of the homes built before 1940 contain lead-based paint; 43% built between 1940 and 1959 contain lead; and, 8% built from 1960 to 1978. </w:t>
      </w:r>
    </w:p>
    <w:p w:rsidR="00361F25" w:rsidRDefault="006E7007">
      <w:pPr>
        <w:widowControl w:val="0"/>
        <w:spacing w:beforeAutospacing="1" w:afterAutospacing="1"/>
        <w:rPr>
          <w:rFonts w:cs="Arial"/>
        </w:rPr>
      </w:pPr>
      <w:r>
        <w:rPr>
          <w:rFonts w:cs="Arial"/>
        </w:rPr>
        <w:t>An</w:t>
      </w:r>
      <w:r w:rsidR="00796AB9">
        <w:rPr>
          <w:rFonts w:cs="Arial"/>
        </w:rPr>
        <w:t xml:space="preserve"> LBP inspection is ordered immediately and properties must pass the inspection before project occurs. If the property fails inspection, repairs are required and must be completed by an experienced contractor. All contractors participating in the programs are required to be Environmental Protection Agency (EPA)-certified. To educate consumers and contractors, Enid distributes the EPA’s lead pamphlet to all homeowners and occupants before work begins. Interim controls are put into place on each project to reduce human exposure to contaminants, including specialized cleaning, painting, temporary containment and ongoing monitoring of lead-based paint hazards to potential hazards. Inspectors test the areas that will be impacted by rehabilitation and take necessary measures to abate the conditions. </w:t>
      </w:r>
      <w:r w:rsidR="00796AB9">
        <w:rPr>
          <w:rFonts w:cs="Arial"/>
        </w:rPr>
        <w:lastRenderedPageBreak/>
        <w:t xml:space="preserve">All occupants are advised of any lead hazard evaluations, reports and recommendations of the hazard reduction activities and clearances.  Staff, contractors, subrecipient agencies, </w:t>
      </w:r>
      <w:r>
        <w:rPr>
          <w:rFonts w:cs="Arial"/>
        </w:rPr>
        <w:t>community-based</w:t>
      </w:r>
      <w:r w:rsidR="00796AB9">
        <w:rPr>
          <w:rFonts w:cs="Arial"/>
        </w:rPr>
        <w:t xml:space="preserve"> organizations, nonprofit organizations and other participating public agency staff all receive information on lead hazards, and key staff are sent to HUD-sponsored trainings. The CDC also distributes notices to all Section 8 property owners and managers to notify them about regulatory requirements. Emergency shelter housing participating in the County’s voucher program are also subject to health and safety inspections, and routine inspections are required in many of the multi-family dwellings to ensure that units are maintained in accordance with HUD requirements. </w:t>
      </w:r>
    </w:p>
    <w:p w:rsidR="00361F25" w:rsidRDefault="00796AB9">
      <w:pPr>
        <w:widowControl w:val="0"/>
        <w:rPr>
          <w:b/>
          <w:sz w:val="24"/>
          <w:szCs w:val="24"/>
        </w:rPr>
      </w:pPr>
      <w:r>
        <w:rPr>
          <w:b/>
          <w:sz w:val="24"/>
          <w:szCs w:val="24"/>
        </w:rPr>
        <w:t>Actions taken to reduce the number of poverty-level families. 91.220(k); 91.320(j)</w:t>
      </w:r>
    </w:p>
    <w:p w:rsidR="00361F25" w:rsidRDefault="00796AB9">
      <w:pPr>
        <w:widowControl w:val="0"/>
        <w:spacing w:beforeAutospacing="1" w:afterAutospacing="1"/>
        <w:rPr>
          <w:rFonts w:cs="Arial"/>
        </w:rPr>
      </w:pPr>
      <w:r>
        <w:rPr>
          <w:rFonts w:cs="Arial"/>
        </w:rPr>
        <w:t xml:space="preserve">The City of Enid partners with communities, community-based organizations and non-governmental organizations including advocacy groups, on </w:t>
      </w:r>
      <w:r w:rsidR="006E7007">
        <w:rPr>
          <w:rFonts w:cs="Arial"/>
        </w:rPr>
        <w:t>community-based</w:t>
      </w:r>
      <w:r>
        <w:rPr>
          <w:rFonts w:cs="Arial"/>
        </w:rPr>
        <w:t xml:space="preserve"> initiatives.  The CDBG </w:t>
      </w:r>
      <w:r w:rsidR="00295683">
        <w:rPr>
          <w:rFonts w:cs="Arial"/>
        </w:rPr>
        <w:t>Coordinato</w:t>
      </w:r>
      <w:r>
        <w:rPr>
          <w:rFonts w:cs="Arial"/>
        </w:rPr>
        <w:t>r participates on behalf of the City with organizations and serves as a liasion to contribute to the empowerment and inclusion of low-moderate income individuals.  </w:t>
      </w:r>
    </w:p>
    <w:p w:rsidR="00361F25" w:rsidRDefault="00796AB9">
      <w:pPr>
        <w:widowControl w:val="0"/>
        <w:spacing w:beforeAutospacing="1" w:afterAutospacing="1"/>
        <w:rPr>
          <w:rFonts w:cs="Arial"/>
        </w:rPr>
      </w:pPr>
      <w:r>
        <w:rPr>
          <w:rFonts w:cs="Arial"/>
        </w:rPr>
        <w:t>The City of Enid provides access to infrastructure and urban services to all citizens regardless of income level.  The City initiates intergrated programs for the improvement of the urban environment and supports economic development through collaboration with the Enid Regional Develolpment Alliance (ERDA).  </w:t>
      </w:r>
    </w:p>
    <w:p w:rsidR="00361F25" w:rsidRDefault="00796AB9">
      <w:pPr>
        <w:widowControl w:val="0"/>
        <w:spacing w:beforeAutospacing="1" w:afterAutospacing="1"/>
        <w:rPr>
          <w:rFonts w:cs="Arial"/>
        </w:rPr>
      </w:pPr>
      <w:r>
        <w:rPr>
          <w:rFonts w:cs="Arial"/>
        </w:rPr>
        <w:t xml:space="preserve">Homeownership becomes more feasible for low-income households when down-payment assistance, below market interest rate mortgage loans, and/or homebuyer education is available.  In addition to the need for down payment, closing cost assistance, or interest subsidy, an </w:t>
      </w:r>
      <w:r w:rsidR="006E7007">
        <w:rPr>
          <w:rFonts w:cs="Arial"/>
        </w:rPr>
        <w:t>often-cited</w:t>
      </w:r>
      <w:r>
        <w:rPr>
          <w:rFonts w:cs="Arial"/>
        </w:rPr>
        <w:t xml:space="preserve"> homeownership barrier is poor credit or no credit history.</w:t>
      </w:r>
    </w:p>
    <w:p w:rsidR="00361F25" w:rsidRDefault="00796AB9">
      <w:pPr>
        <w:widowControl w:val="0"/>
        <w:spacing w:beforeAutospacing="1" w:afterAutospacing="1"/>
        <w:rPr>
          <w:rFonts w:cs="Arial"/>
        </w:rPr>
      </w:pPr>
      <w:r>
        <w:rPr>
          <w:rFonts w:cs="Arial"/>
        </w:rPr>
        <w:t>To ease the purchase gap on the affordable housing market segment and address credit, the City encourages nonprofit and local banking partners to offer financial and/or homebuyer education and seek homebuyer assistance resources from OHFA’s HOME and SFMRB Programs, the FHLB’s AHP Program and REI’s down payment, closing cost and mortgage financing assistance programs.</w:t>
      </w:r>
    </w:p>
    <w:p w:rsidR="00361F25" w:rsidRDefault="00796AB9">
      <w:pPr>
        <w:widowControl w:val="0"/>
        <w:spacing w:beforeAutospacing="1" w:afterAutospacing="1"/>
        <w:rPr>
          <w:rFonts w:cs="Arial"/>
        </w:rPr>
      </w:pPr>
      <w:r>
        <w:rPr>
          <w:rFonts w:cs="Arial"/>
        </w:rPr>
        <w:t xml:space="preserve">Similarly, the high cost of developing new rental properties developments results in contract rents unaffordable to low and very </w:t>
      </w:r>
      <w:r w:rsidR="006E7007">
        <w:rPr>
          <w:rFonts w:cs="Arial"/>
        </w:rPr>
        <w:t>low-income</w:t>
      </w:r>
      <w:r>
        <w:rPr>
          <w:rFonts w:cs="Arial"/>
        </w:rPr>
        <w:t xml:space="preserve"> households. Higher development costs result in larger </w:t>
      </w:r>
      <w:r w:rsidR="006E7007">
        <w:rPr>
          <w:rFonts w:cs="Arial"/>
        </w:rPr>
        <w:t>long-term</w:t>
      </w:r>
      <w:r>
        <w:rPr>
          <w:rFonts w:cs="Arial"/>
        </w:rPr>
        <w:t xml:space="preserve"> mortgage amounts with higher monthly payments. In turn, higher contract rent structures are needed in order to produce adequate revenues to service debt.  Working closely with community development organizations, the City hopes to create additional tax credit projects to promote the development of affordable housing.</w:t>
      </w:r>
    </w:p>
    <w:p w:rsidR="00361F25" w:rsidRDefault="00796AB9">
      <w:pPr>
        <w:widowControl w:val="0"/>
        <w:spacing w:beforeAutospacing="1" w:afterAutospacing="1"/>
        <w:rPr>
          <w:rFonts w:cs="Arial"/>
        </w:rPr>
      </w:pPr>
      <w:r>
        <w:rPr>
          <w:rFonts w:cs="Arial"/>
        </w:rPr>
        <w:t> The City of Enid continues to work closely with CDSA to help families move to economic self-sufficiency by improving conditions in which low-income people live and supporting partnerships among providers of services to low-income people.</w:t>
      </w:r>
    </w:p>
    <w:p w:rsidR="00361F25" w:rsidRDefault="00796AB9">
      <w:pPr>
        <w:widowControl w:val="0"/>
        <w:spacing w:beforeAutospacing="1" w:afterAutospacing="1"/>
        <w:rPr>
          <w:rFonts w:cs="Arial"/>
        </w:rPr>
      </w:pPr>
      <w:r>
        <w:rPr>
          <w:rFonts w:cs="Arial"/>
        </w:rPr>
        <w:t> Through the City’s continued support of Northern Oklahoma College (NOC) with the Section 108 Loan to assist with the purchase of the Enid campus, opportunities for further education are provided at an affordable rate.  Northern Oklahoma College (NOC), Northwestern Oklahoma State University (NWOSU), and Autry Technology Center worked together to provide expanded economic and educational opprotunities to the community at a lower tuition cost than other regional and state universities.</w:t>
      </w:r>
    </w:p>
    <w:p w:rsidR="00361F25" w:rsidRDefault="00796AB9">
      <w:pPr>
        <w:widowControl w:val="0"/>
        <w:rPr>
          <w:b/>
          <w:sz w:val="24"/>
          <w:szCs w:val="24"/>
        </w:rPr>
      </w:pPr>
      <w:r>
        <w:rPr>
          <w:b/>
          <w:sz w:val="24"/>
          <w:szCs w:val="24"/>
        </w:rPr>
        <w:lastRenderedPageBreak/>
        <w:t>Actions taken to develop institutional structure. 91.220(k); 91.320(j)</w:t>
      </w:r>
    </w:p>
    <w:p w:rsidR="00361F25" w:rsidRDefault="00796AB9">
      <w:pPr>
        <w:widowControl w:val="0"/>
        <w:spacing w:beforeAutospacing="1" w:afterAutospacing="1"/>
        <w:rPr>
          <w:rFonts w:cs="Arial"/>
        </w:rPr>
      </w:pPr>
      <w:bookmarkStart w:id="21" w:name="_Hlk96087894"/>
      <w:r>
        <w:rPr>
          <w:rFonts w:cs="Arial"/>
        </w:rPr>
        <w:t>The City of Enid has developed and continues to improve a well structured institiutional framework to meet the goals and functional requirements of the CDBG program.  The process established for preparing plans, funding allocations and administration of the program requires an open public process where citizens and local agencies participate in identifying needs and gaps, decision-making on priorities and implementation of plans, projects and activities.  </w:t>
      </w:r>
    </w:p>
    <w:p w:rsidR="00361F25" w:rsidRDefault="00796AB9">
      <w:pPr>
        <w:widowControl w:val="0"/>
        <w:spacing w:beforeAutospacing="1" w:afterAutospacing="1"/>
        <w:rPr>
          <w:rFonts w:cs="Arial"/>
        </w:rPr>
      </w:pPr>
      <w:r>
        <w:rPr>
          <w:rFonts w:cs="Arial"/>
        </w:rPr>
        <w:t>Once funds are allocated, the City staff and participating agencies work together under a clearly defined framework of procedures to ensure success in carrying out the funded programs and projects. The City of Enid assesses the current system and makes improvements on an on-going basis. </w:t>
      </w:r>
    </w:p>
    <w:p w:rsidR="00361F25" w:rsidRDefault="00796AB9">
      <w:pPr>
        <w:widowControl w:val="0"/>
        <w:spacing w:beforeAutospacing="1" w:afterAutospacing="1"/>
        <w:rPr>
          <w:rFonts w:cs="Arial"/>
        </w:rPr>
      </w:pPr>
      <w:r>
        <w:rPr>
          <w:rFonts w:cs="Arial"/>
        </w:rPr>
        <w:t>Enid plans to continue its strong community involvement and citizen participation by inviting organizations such as local and county governments, health departments, non-profit providers, school representatives, community housing development organizations, and state organizations to attend public hearings and meetings regarding the City’s vision for a viable and urban community.  The City encourages participation from each of the organizations to assist with achieving our vision.</w:t>
      </w:r>
    </w:p>
    <w:p w:rsidR="00361F25" w:rsidRDefault="00796AB9">
      <w:pPr>
        <w:widowControl w:val="0"/>
        <w:spacing w:beforeAutospacing="1" w:afterAutospacing="1"/>
        <w:rPr>
          <w:rFonts w:cs="Arial"/>
        </w:rPr>
      </w:pPr>
      <w:r>
        <w:rPr>
          <w:rFonts w:cs="Arial"/>
        </w:rPr>
        <w:t> By serving on various committees, CDBG Department staff acquires additional knowledge of needs and coordinates efforts to assist with addressing those needs.  CDBG staff works closely with other city departments to identify and address gaps in structure.</w:t>
      </w:r>
    </w:p>
    <w:bookmarkEnd w:id="21"/>
    <w:p w:rsidR="00361F25" w:rsidRDefault="00796AB9">
      <w:pPr>
        <w:widowControl w:val="0"/>
        <w:rPr>
          <w:b/>
          <w:sz w:val="24"/>
          <w:szCs w:val="24"/>
        </w:rPr>
      </w:pPr>
      <w:r>
        <w:rPr>
          <w:b/>
          <w:sz w:val="24"/>
          <w:szCs w:val="24"/>
        </w:rPr>
        <w:t>Actions taken to enhance coordination between public and private housing and social service agencies. 91.220(k); 91.320(j)</w:t>
      </w:r>
    </w:p>
    <w:p w:rsidR="00361F25" w:rsidRDefault="00796AB9">
      <w:pPr>
        <w:widowControl w:val="0"/>
        <w:spacing w:beforeAutospacing="1" w:afterAutospacing="1"/>
        <w:rPr>
          <w:rFonts w:cs="Arial"/>
        </w:rPr>
      </w:pPr>
      <w:r>
        <w:rPr>
          <w:rFonts w:cs="Arial"/>
        </w:rPr>
        <w:t xml:space="preserve">The City works closely with local public housing agency, private housing developers and social service agencies to meet the needs for housing.  In addition, the CDBG </w:t>
      </w:r>
      <w:r w:rsidR="00B62FE5">
        <w:rPr>
          <w:rFonts w:cs="Arial"/>
        </w:rPr>
        <w:t xml:space="preserve">Coordinator </w:t>
      </w:r>
      <w:r>
        <w:rPr>
          <w:rFonts w:cs="Arial"/>
        </w:rPr>
        <w:t>provides information to citizens about resources available in the area which include local service agencies, public and private.  The City also strongly encourages agencies that receive CDBG funds to work closely together to improve referrals, identify service gaps and recommend solutions.</w:t>
      </w:r>
    </w:p>
    <w:p w:rsidR="00361F25" w:rsidRDefault="00796AB9">
      <w:pPr>
        <w:widowControl w:val="0"/>
        <w:spacing w:beforeAutospacing="1" w:afterAutospacing="1"/>
        <w:rPr>
          <w:rFonts w:cs="Arial"/>
        </w:rPr>
      </w:pPr>
      <w:r>
        <w:rPr>
          <w:rFonts w:cs="Arial"/>
        </w:rPr>
        <w:t>Various collaborative efforts have been instituted to support coordination between housing and service providers.  The Human Services Alliance of Greater Enid consists of organizations such as education, governance, health, welfare, mental health, substance abuse, teen engagement, advocacy and mentorship programs.  Leaders from those organizations meet to discuss needs and implement programs to create a suitable living environment for all citizens.</w:t>
      </w:r>
    </w:p>
    <w:p w:rsidR="00361F25" w:rsidRDefault="00796AB9">
      <w:pPr>
        <w:widowControl w:val="0"/>
        <w:spacing w:beforeAutospacing="1" w:afterAutospacing="1"/>
        <w:rPr>
          <w:rFonts w:cs="Arial"/>
        </w:rPr>
      </w:pPr>
      <w:r>
        <w:rPr>
          <w:rFonts w:cs="Arial"/>
        </w:rPr>
        <w:t>To off-set the high development costs associated with affordable rental property development, nonprofit and for-profit development partners access state and national affordable housing grant and loan funds. This "soft" public financing can then be used by development entities to reduce and/or eliminate hard development costs and long-term debt resulting in cost savings that are passed on to low-income residents in the form of lower more affordable housing. </w:t>
      </w:r>
    </w:p>
    <w:p w:rsidR="00361F25" w:rsidRDefault="00796AB9">
      <w:pPr>
        <w:widowControl w:val="0"/>
        <w:rPr>
          <w:b/>
          <w:sz w:val="24"/>
          <w:szCs w:val="24"/>
        </w:rPr>
      </w:pPr>
      <w:r>
        <w:rPr>
          <w:b/>
          <w:sz w:val="24"/>
          <w:szCs w:val="24"/>
        </w:rPr>
        <w:t xml:space="preserve">Identify actions taken to overcome the effects of any impediments identified in the </w:t>
      </w:r>
      <w:r w:rsidR="006E7007">
        <w:rPr>
          <w:b/>
          <w:sz w:val="24"/>
          <w:szCs w:val="24"/>
        </w:rPr>
        <w:t>jurisdiction’s</w:t>
      </w:r>
      <w:r>
        <w:rPr>
          <w:b/>
          <w:sz w:val="24"/>
          <w:szCs w:val="24"/>
        </w:rPr>
        <w:t xml:space="preserve"> analysis of impediments to fair housing choice.  91.520(a)</w:t>
      </w:r>
    </w:p>
    <w:p w:rsidR="00361F25" w:rsidRDefault="00796AB9">
      <w:pPr>
        <w:widowControl w:val="0"/>
        <w:spacing w:beforeAutospacing="1" w:afterAutospacing="1"/>
        <w:rPr>
          <w:rFonts w:cs="Arial"/>
        </w:rPr>
      </w:pPr>
      <w:r>
        <w:rPr>
          <w:rFonts w:cs="Arial"/>
        </w:rPr>
        <w:t xml:space="preserve">The City of Enid continues its commitment to create diverse housing opportunities and ensure the </w:t>
      </w:r>
      <w:r>
        <w:rPr>
          <w:rFonts w:cs="Arial"/>
        </w:rPr>
        <w:lastRenderedPageBreak/>
        <w:t xml:space="preserve">availability and affordability of a variety of housing options by collaborating with the development community and housing organizations to build affordable housing as demonstrated with the partnership on all development projects. The City of Enid promotes Fair Housing in many ways.  The CDBG </w:t>
      </w:r>
      <w:r w:rsidR="00B62FE5">
        <w:rPr>
          <w:rFonts w:cs="Arial"/>
        </w:rPr>
        <w:t>Coordinator</w:t>
      </w:r>
      <w:r>
        <w:rPr>
          <w:rFonts w:cs="Arial"/>
        </w:rPr>
        <w:t xml:space="preserve"> is listed as the Fair Housing Coordinator and continually provides information and services to citizens; including renters, homebuyers, home sellers, mortgage lenders, brokers and investment property owners/landlords.  The CDBG </w:t>
      </w:r>
      <w:r w:rsidR="00B62FE5">
        <w:rPr>
          <w:rFonts w:cs="Arial"/>
        </w:rPr>
        <w:t xml:space="preserve">Coordinator </w:t>
      </w:r>
      <w:r>
        <w:rPr>
          <w:rFonts w:cs="Arial"/>
        </w:rPr>
        <w:t>is accessible to members of the community making it easy for citizens to file complaints when they feel they have been discriminated against in the housing market.   Educating the general public, landlord’s, property managers and realtors through trainings, public service announcements and distribution of information is helpful to the community in prevention and alleviation of Fair Housing discrimination.  </w:t>
      </w:r>
    </w:p>
    <w:p w:rsidR="00361F25" w:rsidRDefault="00796AB9">
      <w:pPr>
        <w:pStyle w:val="Heading2"/>
        <w:pageBreakBefore/>
        <w:widowControl w:val="0"/>
        <w:rPr>
          <w:rFonts w:ascii="Calibri" w:hAnsi="Calibri"/>
          <w:i w:val="0"/>
        </w:rPr>
      </w:pPr>
      <w:bookmarkStart w:id="22" w:name="_Toc143516191"/>
      <w:r>
        <w:rPr>
          <w:rFonts w:ascii="Calibri" w:hAnsi="Calibri"/>
          <w:i w:val="0"/>
        </w:rPr>
        <w:lastRenderedPageBreak/>
        <w:t>CR-40 - Monitoring 91.220 and 91.230</w:t>
      </w:r>
      <w:bookmarkEnd w:id="22"/>
    </w:p>
    <w:p w:rsidR="00361F25" w:rsidRDefault="00796AB9">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rsidR="00CE42AD" w:rsidRDefault="00CE42AD" w:rsidP="00CE42AD">
      <w:pPr>
        <w:spacing w:beforeAutospacing="1" w:afterAutospacing="1"/>
      </w:pPr>
      <w:r>
        <w:t xml:space="preserve">During the program year, the CDBG Department continues to proceed in accordance with the management process set forth in the consolidated plan.  The CDBG Program is under the direction and oversight of the City Manager and Assistant City Manager. One full time employee, a CDBG </w:t>
      </w:r>
      <w:r w:rsidR="00295683">
        <w:t>Coordinator</w:t>
      </w:r>
      <w:r>
        <w:t>, is responsible for administering and implementing all funded activities, preparing the 5-Year Consolidated Plan and Annual Action Plans, program and project recordkeeping, adherence to federal and state program related regulations and statutes.  A CDBG Funding Committee represented by the Mayor &amp; Commissions represent each area of the city divided into wards similar to census tracts.  The Mayor and Commissioners are from different backgrounds and a highly diverse group of individuals.  The Mayor and Commissioners assist the CDBG Director and City Manager in the review and recommendation of proposals to be funded with CDBG resources. </w:t>
      </w:r>
    </w:p>
    <w:p w:rsidR="004C2E0B" w:rsidRDefault="004C2E0B" w:rsidP="004C2E0B">
      <w:pPr>
        <w:spacing w:beforeAutospacing="1" w:afterAutospacing="1"/>
      </w:pPr>
      <w:r>
        <w:t xml:space="preserve">Monitoring is conducted on a regular basis in a manner consistent with the HUD regulatory guidelines that apply to CDBG funds. Depending on the nature of the fund’s usage, different eligibility and compliance factors may be reviewed. CDBG Department staff keeps continuous contact with sub-recipients during the duration of the project.  Funds are not released unless the CDBG staff has all supporting satisfactory documentation in order.  Annual on-site monitoring visits follow the sub recipient monitoring checklist to ensure comprehensive monitoring is completed. For projects following Davis-Bacon requirements, staff meets with sub recipients before any bids are solicited and with contractors before any work can begin. </w:t>
      </w:r>
    </w:p>
    <w:p w:rsidR="004C2E0B" w:rsidRDefault="004C2E0B">
      <w:pPr>
        <w:widowControl w:val="0"/>
        <w:spacing w:beforeAutospacing="1" w:afterAutospacing="1"/>
        <w:rPr>
          <w:rFonts w:cs="Arial"/>
        </w:rPr>
      </w:pPr>
      <w:r>
        <w:rPr>
          <w:rFonts w:cs="Arial"/>
        </w:rPr>
        <w:t>The City of Enid requires subrecipients to submit accomplishment reports on at least a quarterly basis. Subrecipients must submit notarized affidavit</w:t>
      </w:r>
      <w:r w:rsidR="00CE42AD">
        <w:rPr>
          <w:rFonts w:cs="Arial"/>
        </w:rPr>
        <w:t>s with each claim, as well as itemized invoice, ledger balance sheet, and proof of all receipts for expenditures.</w:t>
      </w:r>
    </w:p>
    <w:p w:rsidR="004C2E0B" w:rsidRDefault="004C2E0B">
      <w:pPr>
        <w:widowControl w:val="0"/>
        <w:spacing w:beforeAutospacing="1" w:afterAutospacing="1"/>
        <w:rPr>
          <w:rFonts w:cs="Arial"/>
        </w:rPr>
      </w:pPr>
      <w:r>
        <w:rPr>
          <w:rFonts w:cs="Arial"/>
        </w:rPr>
        <w:t>All disbursements must be approved by the Mayor and City Commissioner’s at regular monthtly meetings before checks are disbursed.</w:t>
      </w:r>
    </w:p>
    <w:p w:rsidR="00361F25" w:rsidRDefault="00361F25">
      <w:pPr>
        <w:widowControl w:val="0"/>
        <w:spacing w:beforeAutospacing="1" w:afterAutospacing="1"/>
        <w:rPr>
          <w:rFonts w:cs="Arial"/>
        </w:rPr>
      </w:pPr>
    </w:p>
    <w:p w:rsidR="00361F25" w:rsidRDefault="00796AB9">
      <w:pPr>
        <w:widowControl w:val="0"/>
        <w:spacing w:beforeAutospacing="1" w:afterAutospacing="1"/>
        <w:rPr>
          <w:b/>
          <w:sz w:val="24"/>
          <w:szCs w:val="24"/>
        </w:rPr>
      </w:pPr>
      <w:r>
        <w:rPr>
          <w:b/>
          <w:sz w:val="24"/>
          <w:szCs w:val="24"/>
        </w:rPr>
        <w:t>Citizen Participation Plan 91.105(d); 91.115(d)</w:t>
      </w:r>
    </w:p>
    <w:p w:rsidR="00361F25" w:rsidRDefault="00796AB9">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rsidR="00CE42AD" w:rsidRDefault="00CE42AD">
      <w:pPr>
        <w:spacing w:beforeAutospacing="1" w:afterAutospacing="1"/>
      </w:pPr>
      <w:r>
        <w:t>The City of Enid publishes the availability of the Consolidated Annual Performance &amp; Evaluation Report in the local Enid News &amp; Eagle.  The notice gives at least a 15-day comment period and includes details regarding the public hearing. </w:t>
      </w:r>
    </w:p>
    <w:p w:rsidR="00361F25" w:rsidRDefault="00796AB9">
      <w:pPr>
        <w:spacing w:beforeAutospacing="1" w:afterAutospacing="1"/>
      </w:pPr>
      <w:r>
        <w:t xml:space="preserve">To ensure citizen participation in the performance report process, the city followed the Citizen Participation Plan.  Notice was given regarding the availability of the plan and report. The notification </w:t>
      </w:r>
      <w:r>
        <w:lastRenderedPageBreak/>
        <w:t xml:space="preserve">stated that the City of Enid was accepting comments on the performance report giving citizens the opportunity to view and make public comments. A </w:t>
      </w:r>
      <w:r w:rsidR="00B866F0">
        <w:t>15-day</w:t>
      </w:r>
      <w:r>
        <w:t xml:space="preserve"> comment period</w:t>
      </w:r>
      <w:r w:rsidR="00B63A93">
        <w:t xml:space="preserve"> was</w:t>
      </w:r>
      <w:r>
        <w:t xml:space="preserve"> open until </w:t>
      </w:r>
      <w:r w:rsidR="00EC61F6">
        <w:t>6</w:t>
      </w:r>
      <w:r>
        <w:t xml:space="preserve">:00 </w:t>
      </w:r>
      <w:r w:rsidR="00200347">
        <w:t>p</w:t>
      </w:r>
      <w:r>
        <w:t xml:space="preserve">.m. </w:t>
      </w:r>
      <w:r w:rsidR="003613B3" w:rsidRPr="00295683">
        <w:rPr>
          <w:highlight w:val="yellow"/>
        </w:rPr>
        <w:t>September 20</w:t>
      </w:r>
      <w:r>
        <w:t>, 202</w:t>
      </w:r>
      <w:r w:rsidR="00295683">
        <w:t>3</w:t>
      </w:r>
      <w:r>
        <w:t>.</w:t>
      </w:r>
    </w:p>
    <w:p w:rsidR="004C2E0B" w:rsidRPr="00410342" w:rsidRDefault="00796AB9">
      <w:pPr>
        <w:spacing w:beforeAutospacing="1" w:afterAutospacing="1"/>
        <w:rPr>
          <w:color w:val="FF0000"/>
        </w:rPr>
      </w:pPr>
      <w:r>
        <w:t>The 20</w:t>
      </w:r>
      <w:r w:rsidR="003613B3">
        <w:t>2</w:t>
      </w:r>
      <w:r w:rsidR="00295683">
        <w:t>2</w:t>
      </w:r>
      <w:r>
        <w:t xml:space="preserve"> CAPER has been prepared in accordance with the citizen participation plan for the CDBG Entitlement program.  Citizens have a variety of ways to provide comments on all Community Development programs and projects throughout the year</w:t>
      </w:r>
      <w:r w:rsidR="00E8526C">
        <w:t xml:space="preserve">. </w:t>
      </w:r>
      <w:r w:rsidR="004C2E0B" w:rsidRPr="00E8526C">
        <w:t>The draft version of the 202</w:t>
      </w:r>
      <w:r w:rsidR="00295683" w:rsidRPr="00E8526C">
        <w:t>2</w:t>
      </w:r>
      <w:r w:rsidR="004C2E0B" w:rsidRPr="00E8526C">
        <w:t xml:space="preserve"> CAPER publication included the instructions regarding making public comments:</w:t>
      </w:r>
    </w:p>
    <w:p w:rsidR="00361F25" w:rsidRPr="004C2E0B" w:rsidRDefault="00796AB9">
      <w:pPr>
        <w:spacing w:beforeAutospacing="1" w:afterAutospacing="1"/>
        <w:rPr>
          <w:i/>
        </w:rPr>
      </w:pPr>
      <w:r w:rsidRPr="004C2E0B">
        <w:rPr>
          <w:i/>
        </w:rPr>
        <w:t xml:space="preserve">COMMENTS MADE AFTER THE CLOSING OF THE COMMENT PERIOD WILL BE ACCEPTED BY THE CDBG </w:t>
      </w:r>
      <w:r w:rsidR="00367201" w:rsidRPr="004C2E0B">
        <w:rPr>
          <w:i/>
        </w:rPr>
        <w:t>COORDINA</w:t>
      </w:r>
      <w:r w:rsidRPr="004C2E0B">
        <w:rPr>
          <w:i/>
        </w:rPr>
        <w:t>TOR</w:t>
      </w:r>
      <w:r w:rsidR="00367201" w:rsidRPr="004C2E0B">
        <w:rPr>
          <w:i/>
        </w:rPr>
        <w:t xml:space="preserve"> </w:t>
      </w:r>
      <w:r w:rsidR="00CB19C9" w:rsidRPr="004C2E0B">
        <w:rPr>
          <w:i/>
        </w:rPr>
        <w:t>LAURA GIRTY</w:t>
      </w:r>
      <w:r w:rsidRPr="004C2E0B">
        <w:rPr>
          <w:i/>
        </w:rPr>
        <w:t xml:space="preserve"> BY EMAIL AT </w:t>
      </w:r>
      <w:r w:rsidR="00CB19C9" w:rsidRPr="004C2E0B">
        <w:rPr>
          <w:i/>
        </w:rPr>
        <w:t>LGI</w:t>
      </w:r>
      <w:r w:rsidR="00367201" w:rsidRPr="004C2E0B">
        <w:rPr>
          <w:i/>
        </w:rPr>
        <w:t>RTY</w:t>
      </w:r>
      <w:r w:rsidRPr="004C2E0B">
        <w:rPr>
          <w:i/>
        </w:rPr>
        <w:t>@ENID.ORG.  HOWEVER, COMMENTS MADE AFTER</w:t>
      </w:r>
      <w:r w:rsidR="004C2E0B" w:rsidRPr="004C2E0B">
        <w:rPr>
          <w:i/>
        </w:rPr>
        <w:t xml:space="preserve"> </w:t>
      </w:r>
      <w:r w:rsidRPr="004C2E0B">
        <w:rPr>
          <w:i/>
        </w:rPr>
        <w:t>THE COMMENT PERIOD EXPIRATION WILL NOT APPEAR IN THE OFFICIAL REPORT.</w:t>
      </w:r>
    </w:p>
    <w:p w:rsidR="004C2E0B" w:rsidRDefault="004C2E0B">
      <w:pPr>
        <w:spacing w:beforeAutospacing="1" w:afterAutospacing="1"/>
      </w:pPr>
      <w:r w:rsidRPr="004C2E0B">
        <w:t xml:space="preserve">The draft CAPER was released for public comment on </w:t>
      </w:r>
      <w:r w:rsidRPr="00410342">
        <w:rPr>
          <w:highlight w:val="yellow"/>
        </w:rPr>
        <w:t>September 5</w:t>
      </w:r>
      <w:r w:rsidRPr="004C2E0B">
        <w:t>, 202</w:t>
      </w:r>
      <w:r w:rsidR="00410342">
        <w:t>3</w:t>
      </w:r>
      <w:r w:rsidRPr="004C2E0B">
        <w:t xml:space="preserve">, allowing citizens more than the required 15-day comment period.  The comment period was closed at 6:00 o'clock p.m. on </w:t>
      </w:r>
      <w:r w:rsidRPr="00295683">
        <w:rPr>
          <w:highlight w:val="yellow"/>
        </w:rPr>
        <w:t>September 20</w:t>
      </w:r>
      <w:r w:rsidRPr="004C2E0B">
        <w:t>, 202</w:t>
      </w:r>
      <w:r w:rsidR="00295683">
        <w:t>3</w:t>
      </w:r>
      <w:r w:rsidRPr="004C2E0B">
        <w:t>.</w:t>
      </w:r>
    </w:p>
    <w:p w:rsidR="00361F25" w:rsidRDefault="00796AB9">
      <w:pPr>
        <w:spacing w:beforeAutospacing="1" w:afterAutospacing="1"/>
      </w:pPr>
      <w:r>
        <w:t>Any comments received will be listed below:</w:t>
      </w:r>
    </w:p>
    <w:p w:rsidR="00361F25" w:rsidRDefault="00796AB9">
      <w:pPr>
        <w:spacing w:beforeAutospacing="1" w:afterAutospacing="1"/>
      </w:pPr>
      <w:r>
        <w:t>NONE RECEIVED </w:t>
      </w:r>
    </w:p>
    <w:p w:rsidR="00361F25" w:rsidRDefault="00796AB9">
      <w:pPr>
        <w:rPr>
          <w:b/>
          <w:i/>
          <w:sz w:val="28"/>
          <w:szCs w:val="28"/>
        </w:rPr>
      </w:pPr>
      <w:r>
        <w:rPr>
          <w:b/>
          <w:sz w:val="28"/>
          <w:szCs w:val="28"/>
        </w:rPr>
        <w:t>CR-45 - CDBG 91.520(c)</w:t>
      </w:r>
    </w:p>
    <w:p w:rsidR="00361F25" w:rsidRDefault="00796AB9">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rsidR="00361F25" w:rsidRDefault="00796AB9">
      <w:pPr>
        <w:widowControl w:val="0"/>
        <w:spacing w:beforeAutospacing="1" w:afterAutospacing="1"/>
        <w:rPr>
          <w:rFonts w:cs="Arial"/>
        </w:rPr>
      </w:pPr>
      <w:r>
        <w:rPr>
          <w:rFonts w:cs="Arial"/>
        </w:rPr>
        <w:t xml:space="preserve">An evaluation of past performance revealed that the City of Enid CDBG goals were met and no changes were made to the program objectives.  Any quantatative goals that weren't met were due to decreased CDBG funding.  Throughout the previous five years Enid's citizen participation plan was adhered to. In the capacity of lead </w:t>
      </w:r>
      <w:r w:rsidR="006E7007">
        <w:rPr>
          <w:rFonts w:cs="Arial"/>
        </w:rPr>
        <w:t>agency,</w:t>
      </w:r>
      <w:r>
        <w:rPr>
          <w:rFonts w:cs="Arial"/>
        </w:rPr>
        <w:t xml:space="preserve"> the City of Enid consulted with various representatives of city and county departments, health organizations, schools, nonprofit organizations etc. to ensure that none of the needs in our community were overlooked.  Additionally, the City met with the citizens to obtain input.  Overall, the citizen plans to meet the identified goals with specific emphasis on the needs of </w:t>
      </w:r>
      <w:r w:rsidR="006E7007">
        <w:rPr>
          <w:rFonts w:cs="Arial"/>
        </w:rPr>
        <w:t>low- and moderate-income</w:t>
      </w:r>
      <w:r>
        <w:rPr>
          <w:rFonts w:cs="Arial"/>
        </w:rPr>
        <w:t xml:space="preserve"> persons and families in the City of Enid.  All goals achieved benefit 100% of the clientele served were of low mod income. CDBG staff strives to meet all CDBG program requirements while also following city and state mandated requirements. To ensure sub-grantees understand their responsibilities, staff provides training, technical assistance, and monitors projects regularly based on the type of activity and complexity. The past needs are a basis for determining current needs.  There continues to be a strong need for housing and homeless prevention projects that are provided by CDSA. To ensure that all low-income households have the opportunity to improve quality of life, the City of Enid is making CDBG resources available citywide based on Low-moderate income clientele (LMC) basis.</w:t>
      </w:r>
    </w:p>
    <w:p w:rsidR="00361F25" w:rsidRDefault="00796AB9">
      <w:pPr>
        <w:widowControl w:val="0"/>
        <w:rPr>
          <w:b/>
          <w:sz w:val="24"/>
          <w:szCs w:val="24"/>
        </w:rPr>
      </w:pPr>
      <w:r>
        <w:rPr>
          <w:b/>
          <w:sz w:val="24"/>
          <w:szCs w:val="24"/>
        </w:rPr>
        <w:t>Does this Jurisdiction have any open Brownfields Economic Development Initiative (BEDI) grants?</w:t>
      </w:r>
    </w:p>
    <w:p w:rsidR="00361F25" w:rsidRDefault="00796AB9">
      <w:pPr>
        <w:widowControl w:val="0"/>
        <w:spacing w:beforeAutospacing="1" w:afterAutospacing="1"/>
        <w:rPr>
          <w:rFonts w:cs="Arial"/>
        </w:rPr>
      </w:pPr>
      <w:r>
        <w:rPr>
          <w:rFonts w:cs="Arial"/>
        </w:rPr>
        <w:t>No</w:t>
      </w:r>
    </w:p>
    <w:p w:rsidR="00361F25" w:rsidRDefault="00796AB9">
      <w:pPr>
        <w:widowControl w:val="0"/>
        <w:rPr>
          <w:b/>
          <w:sz w:val="24"/>
          <w:szCs w:val="24"/>
        </w:rPr>
      </w:pPr>
      <w:r>
        <w:rPr>
          <w:b/>
          <w:sz w:val="24"/>
          <w:szCs w:val="24"/>
        </w:rPr>
        <w:lastRenderedPageBreak/>
        <w:t xml:space="preserve"> [BEDI </w:t>
      </w:r>
      <w:r w:rsidR="006E7007">
        <w:rPr>
          <w:b/>
          <w:sz w:val="24"/>
          <w:szCs w:val="24"/>
        </w:rPr>
        <w:t>grantees] Describe</w:t>
      </w:r>
      <w:r>
        <w:rPr>
          <w:b/>
          <w:sz w:val="24"/>
          <w:szCs w:val="24"/>
        </w:rPr>
        <w:t xml:space="preserve"> accomplishments and program outcomes during the last year.</w:t>
      </w:r>
    </w:p>
    <w:p w:rsidR="00361F25" w:rsidRDefault="00361F25">
      <w:pPr>
        <w:widowControl w:val="0"/>
        <w:rPr>
          <w:rFonts w:cs="Arial"/>
        </w:rPr>
      </w:pPr>
    </w:p>
    <w:p w:rsidR="00361F25" w:rsidRDefault="00B63A93">
      <w:r>
        <w:t>N/A</w:t>
      </w:r>
    </w:p>
    <w:p w:rsidR="00361F25" w:rsidRDefault="00361F25"/>
    <w:sectPr w:rsidR="00361F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CDE" w:rsidRDefault="00EE3CDE">
      <w:r>
        <w:separator/>
      </w:r>
    </w:p>
  </w:endnote>
  <w:endnote w:type="continuationSeparator" w:id="0">
    <w:p w:rsidR="00EE3CDE" w:rsidRDefault="00EE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1E0" w:firstRow="1" w:lastRow="1" w:firstColumn="1" w:lastColumn="1" w:noHBand="0" w:noVBand="0"/>
    </w:tblPr>
    <w:tblGrid>
      <w:gridCol w:w="828"/>
      <w:gridCol w:w="7976"/>
      <w:gridCol w:w="772"/>
    </w:tblGrid>
    <w:tr w:rsidR="00413597">
      <w:trPr>
        <w:jc w:val="center"/>
      </w:trPr>
      <w:tc>
        <w:tcPr>
          <w:tcW w:w="828" w:type="dxa"/>
        </w:tcPr>
        <w:p w:rsidR="00413597" w:rsidRDefault="00413597">
          <w:pPr>
            <w:pStyle w:val="Footer"/>
            <w:jc w:val="center"/>
          </w:pPr>
        </w:p>
      </w:tc>
      <w:tc>
        <w:tcPr>
          <w:tcW w:w="7976" w:type="dxa"/>
        </w:tcPr>
        <w:p w:rsidR="00413597" w:rsidRDefault="00413597">
          <w:pPr>
            <w:pStyle w:val="Footer"/>
            <w:jc w:val="center"/>
          </w:pPr>
          <w:r>
            <w:t>CAPER</w:t>
          </w:r>
        </w:p>
      </w:tc>
      <w:tc>
        <w:tcPr>
          <w:tcW w:w="772" w:type="dxa"/>
        </w:tcPr>
        <w:p w:rsidR="00413597" w:rsidRDefault="00413597">
          <w:pPr>
            <w:pStyle w:val="Footer"/>
            <w:jc w:val="right"/>
          </w:pPr>
          <w:r>
            <w:fldChar w:fldCharType="begin"/>
          </w:r>
          <w:r>
            <w:instrText>page</w:instrText>
          </w:r>
          <w:r>
            <w:fldChar w:fldCharType="separate"/>
          </w:r>
          <w:r>
            <w:rPr>
              <w:noProof/>
            </w:rPr>
            <w:t>8</w:t>
          </w:r>
          <w:r>
            <w:fldChar w:fldCharType="end"/>
          </w:r>
        </w:p>
      </w:tc>
    </w:tr>
  </w:tbl>
  <w:p w:rsidR="00413597" w:rsidRDefault="00413597">
    <w:pPr>
      <w:pStyle w:val="Footer"/>
      <w:spacing w:before="12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CDE" w:rsidRDefault="00EE3CDE">
      <w:r>
        <w:separator/>
      </w:r>
    </w:p>
  </w:footnote>
  <w:footnote w:type="continuationSeparator" w:id="0">
    <w:p w:rsidR="00EE3CDE" w:rsidRDefault="00EE3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50"/>
    <w:rsid w:val="00000405"/>
    <w:rsid w:val="00000551"/>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5EED"/>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366CB"/>
    <w:rsid w:val="00040E81"/>
    <w:rsid w:val="0004164B"/>
    <w:rsid w:val="00042C4D"/>
    <w:rsid w:val="0004355B"/>
    <w:rsid w:val="00043B67"/>
    <w:rsid w:val="00044565"/>
    <w:rsid w:val="00044EC9"/>
    <w:rsid w:val="00047DD2"/>
    <w:rsid w:val="00047E3E"/>
    <w:rsid w:val="00047FF3"/>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3F6"/>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190"/>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30"/>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5CFF"/>
    <w:rsid w:val="00106CAB"/>
    <w:rsid w:val="0010757C"/>
    <w:rsid w:val="001101BB"/>
    <w:rsid w:val="001105E4"/>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4AC9"/>
    <w:rsid w:val="001657BA"/>
    <w:rsid w:val="00165977"/>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02C"/>
    <w:rsid w:val="001A1131"/>
    <w:rsid w:val="001A226D"/>
    <w:rsid w:val="001A44BB"/>
    <w:rsid w:val="001A4F93"/>
    <w:rsid w:val="001A6644"/>
    <w:rsid w:val="001A6F81"/>
    <w:rsid w:val="001A7613"/>
    <w:rsid w:val="001A7F28"/>
    <w:rsid w:val="001B0BA7"/>
    <w:rsid w:val="001B177E"/>
    <w:rsid w:val="001B1D63"/>
    <w:rsid w:val="001B469C"/>
    <w:rsid w:val="001B4E20"/>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0347"/>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99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6196"/>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683"/>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0804"/>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C1B"/>
    <w:rsid w:val="003135DE"/>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3B3"/>
    <w:rsid w:val="00361CC3"/>
    <w:rsid w:val="00361F25"/>
    <w:rsid w:val="00362941"/>
    <w:rsid w:val="00362ACB"/>
    <w:rsid w:val="00362BC6"/>
    <w:rsid w:val="00362BEC"/>
    <w:rsid w:val="003636A4"/>
    <w:rsid w:val="00365CE8"/>
    <w:rsid w:val="00365F32"/>
    <w:rsid w:val="00367201"/>
    <w:rsid w:val="00367870"/>
    <w:rsid w:val="00370741"/>
    <w:rsid w:val="0037146A"/>
    <w:rsid w:val="0037176A"/>
    <w:rsid w:val="00371907"/>
    <w:rsid w:val="00375479"/>
    <w:rsid w:val="0037664B"/>
    <w:rsid w:val="0037754F"/>
    <w:rsid w:val="00377ACE"/>
    <w:rsid w:val="00380C4B"/>
    <w:rsid w:val="003814EF"/>
    <w:rsid w:val="00383267"/>
    <w:rsid w:val="003837F6"/>
    <w:rsid w:val="00383DA8"/>
    <w:rsid w:val="00384469"/>
    <w:rsid w:val="0038596A"/>
    <w:rsid w:val="00390CB6"/>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1D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0A9"/>
    <w:rsid w:val="003F5F7A"/>
    <w:rsid w:val="003F60B5"/>
    <w:rsid w:val="003F6FC9"/>
    <w:rsid w:val="004000E2"/>
    <w:rsid w:val="00400274"/>
    <w:rsid w:val="00400B9A"/>
    <w:rsid w:val="004027AD"/>
    <w:rsid w:val="00403758"/>
    <w:rsid w:val="00403D51"/>
    <w:rsid w:val="00403EED"/>
    <w:rsid w:val="00404530"/>
    <w:rsid w:val="00404C37"/>
    <w:rsid w:val="004058BD"/>
    <w:rsid w:val="0040597B"/>
    <w:rsid w:val="0040778D"/>
    <w:rsid w:val="00410342"/>
    <w:rsid w:val="00410A65"/>
    <w:rsid w:val="00413518"/>
    <w:rsid w:val="00413597"/>
    <w:rsid w:val="0041369A"/>
    <w:rsid w:val="0041480C"/>
    <w:rsid w:val="00415254"/>
    <w:rsid w:val="0041625C"/>
    <w:rsid w:val="00416FB6"/>
    <w:rsid w:val="00417131"/>
    <w:rsid w:val="00417339"/>
    <w:rsid w:val="0041739E"/>
    <w:rsid w:val="0041783B"/>
    <w:rsid w:val="004223A6"/>
    <w:rsid w:val="0042286B"/>
    <w:rsid w:val="00424A45"/>
    <w:rsid w:val="004259F8"/>
    <w:rsid w:val="00427BEE"/>
    <w:rsid w:val="0043271A"/>
    <w:rsid w:val="00432796"/>
    <w:rsid w:val="00432EB4"/>
    <w:rsid w:val="00432F29"/>
    <w:rsid w:val="00434057"/>
    <w:rsid w:val="00434282"/>
    <w:rsid w:val="004349D6"/>
    <w:rsid w:val="00435096"/>
    <w:rsid w:val="00435179"/>
    <w:rsid w:val="00435A3B"/>
    <w:rsid w:val="00435D5C"/>
    <w:rsid w:val="00437EC9"/>
    <w:rsid w:val="0044241B"/>
    <w:rsid w:val="0044261D"/>
    <w:rsid w:val="00443154"/>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1FE"/>
    <w:rsid w:val="004665B7"/>
    <w:rsid w:val="0046678C"/>
    <w:rsid w:val="0046760B"/>
    <w:rsid w:val="004702B9"/>
    <w:rsid w:val="00470519"/>
    <w:rsid w:val="00470BB5"/>
    <w:rsid w:val="004718FE"/>
    <w:rsid w:val="00471F93"/>
    <w:rsid w:val="00472F5C"/>
    <w:rsid w:val="004739F0"/>
    <w:rsid w:val="00473A67"/>
    <w:rsid w:val="00474956"/>
    <w:rsid w:val="00474B58"/>
    <w:rsid w:val="00474C83"/>
    <w:rsid w:val="00476421"/>
    <w:rsid w:val="00480DA8"/>
    <w:rsid w:val="004829FE"/>
    <w:rsid w:val="00483130"/>
    <w:rsid w:val="0048349E"/>
    <w:rsid w:val="00483625"/>
    <w:rsid w:val="004845FB"/>
    <w:rsid w:val="004854F8"/>
    <w:rsid w:val="0048572B"/>
    <w:rsid w:val="004871B3"/>
    <w:rsid w:val="00487807"/>
    <w:rsid w:val="00487944"/>
    <w:rsid w:val="00490153"/>
    <w:rsid w:val="00491266"/>
    <w:rsid w:val="004914A6"/>
    <w:rsid w:val="00491EC7"/>
    <w:rsid w:val="00492522"/>
    <w:rsid w:val="00492A7A"/>
    <w:rsid w:val="00492CAF"/>
    <w:rsid w:val="00494561"/>
    <w:rsid w:val="00495006"/>
    <w:rsid w:val="00495A25"/>
    <w:rsid w:val="00495D87"/>
    <w:rsid w:val="00495F6A"/>
    <w:rsid w:val="004963D7"/>
    <w:rsid w:val="00496E0E"/>
    <w:rsid w:val="004978B8"/>
    <w:rsid w:val="004A07BF"/>
    <w:rsid w:val="004A1723"/>
    <w:rsid w:val="004A1D57"/>
    <w:rsid w:val="004A2462"/>
    <w:rsid w:val="004A2A46"/>
    <w:rsid w:val="004A5050"/>
    <w:rsid w:val="004A51EB"/>
    <w:rsid w:val="004A61B9"/>
    <w:rsid w:val="004A6DB8"/>
    <w:rsid w:val="004A7384"/>
    <w:rsid w:val="004A7843"/>
    <w:rsid w:val="004A7D24"/>
    <w:rsid w:val="004A7DCF"/>
    <w:rsid w:val="004B0C5D"/>
    <w:rsid w:val="004B0FF6"/>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2E0B"/>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5BC8"/>
    <w:rsid w:val="004E78FE"/>
    <w:rsid w:val="004E793D"/>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4FE7"/>
    <w:rsid w:val="00536B89"/>
    <w:rsid w:val="00536CE1"/>
    <w:rsid w:val="00537533"/>
    <w:rsid w:val="00537EEE"/>
    <w:rsid w:val="005401AF"/>
    <w:rsid w:val="005403E0"/>
    <w:rsid w:val="00540486"/>
    <w:rsid w:val="00540586"/>
    <w:rsid w:val="00540E17"/>
    <w:rsid w:val="005417CD"/>
    <w:rsid w:val="00541E39"/>
    <w:rsid w:val="00542D7E"/>
    <w:rsid w:val="00543389"/>
    <w:rsid w:val="005438C6"/>
    <w:rsid w:val="00543C52"/>
    <w:rsid w:val="0054621E"/>
    <w:rsid w:val="00551421"/>
    <w:rsid w:val="00552A9C"/>
    <w:rsid w:val="005535E3"/>
    <w:rsid w:val="00554930"/>
    <w:rsid w:val="00554CC3"/>
    <w:rsid w:val="0055520B"/>
    <w:rsid w:val="005552B5"/>
    <w:rsid w:val="00556658"/>
    <w:rsid w:val="00556A53"/>
    <w:rsid w:val="0055774F"/>
    <w:rsid w:val="005578DD"/>
    <w:rsid w:val="00557BF4"/>
    <w:rsid w:val="00557D53"/>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983"/>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4C5"/>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327D"/>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BA9"/>
    <w:rsid w:val="00601C4F"/>
    <w:rsid w:val="00601E1D"/>
    <w:rsid w:val="0060228B"/>
    <w:rsid w:val="0060236A"/>
    <w:rsid w:val="0060319D"/>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280D"/>
    <w:rsid w:val="00642C18"/>
    <w:rsid w:val="00644A8B"/>
    <w:rsid w:val="00645C20"/>
    <w:rsid w:val="00647A68"/>
    <w:rsid w:val="00647D86"/>
    <w:rsid w:val="00652006"/>
    <w:rsid w:val="0065246C"/>
    <w:rsid w:val="00654D27"/>
    <w:rsid w:val="00654F15"/>
    <w:rsid w:val="0065549B"/>
    <w:rsid w:val="00661836"/>
    <w:rsid w:val="00662459"/>
    <w:rsid w:val="006637A3"/>
    <w:rsid w:val="006651FC"/>
    <w:rsid w:val="00665241"/>
    <w:rsid w:val="00665277"/>
    <w:rsid w:val="006655A4"/>
    <w:rsid w:val="0066565D"/>
    <w:rsid w:val="0066591D"/>
    <w:rsid w:val="006664DF"/>
    <w:rsid w:val="00666E10"/>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873B3"/>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E6E8A"/>
    <w:rsid w:val="006E7007"/>
    <w:rsid w:val="006F0A51"/>
    <w:rsid w:val="006F183C"/>
    <w:rsid w:val="006F1FDC"/>
    <w:rsid w:val="006F2050"/>
    <w:rsid w:val="006F255E"/>
    <w:rsid w:val="006F3543"/>
    <w:rsid w:val="006F354E"/>
    <w:rsid w:val="006F380D"/>
    <w:rsid w:val="006F383A"/>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70E"/>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67262"/>
    <w:rsid w:val="00770B75"/>
    <w:rsid w:val="007713FD"/>
    <w:rsid w:val="007714FF"/>
    <w:rsid w:val="00771668"/>
    <w:rsid w:val="007724C7"/>
    <w:rsid w:val="00772BE1"/>
    <w:rsid w:val="007730F1"/>
    <w:rsid w:val="007737B6"/>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6760"/>
    <w:rsid w:val="00796975"/>
    <w:rsid w:val="00796AB9"/>
    <w:rsid w:val="007972CE"/>
    <w:rsid w:val="007974CF"/>
    <w:rsid w:val="007A05ED"/>
    <w:rsid w:val="007A15DB"/>
    <w:rsid w:val="007A1CE2"/>
    <w:rsid w:val="007A45CE"/>
    <w:rsid w:val="007A55B0"/>
    <w:rsid w:val="007A65AE"/>
    <w:rsid w:val="007A678D"/>
    <w:rsid w:val="007A6A94"/>
    <w:rsid w:val="007A6C54"/>
    <w:rsid w:val="007A6E48"/>
    <w:rsid w:val="007A705F"/>
    <w:rsid w:val="007A78FE"/>
    <w:rsid w:val="007B0187"/>
    <w:rsid w:val="007B0DDC"/>
    <w:rsid w:val="007B11DD"/>
    <w:rsid w:val="007B1205"/>
    <w:rsid w:val="007B153F"/>
    <w:rsid w:val="007B2073"/>
    <w:rsid w:val="007B24CD"/>
    <w:rsid w:val="007B262D"/>
    <w:rsid w:val="007B4A55"/>
    <w:rsid w:val="007B5415"/>
    <w:rsid w:val="007B5418"/>
    <w:rsid w:val="007C0902"/>
    <w:rsid w:val="007C0E6F"/>
    <w:rsid w:val="007C1AFF"/>
    <w:rsid w:val="007C1F3E"/>
    <w:rsid w:val="007C2B34"/>
    <w:rsid w:val="007C3890"/>
    <w:rsid w:val="007C3E50"/>
    <w:rsid w:val="007C3F92"/>
    <w:rsid w:val="007C5379"/>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69C4"/>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354"/>
    <w:rsid w:val="00802DDE"/>
    <w:rsid w:val="008032DD"/>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7BE"/>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3B7F"/>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9DF"/>
    <w:rsid w:val="00866BFC"/>
    <w:rsid w:val="0086736A"/>
    <w:rsid w:val="008674B6"/>
    <w:rsid w:val="008676F3"/>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03"/>
    <w:rsid w:val="008923D0"/>
    <w:rsid w:val="0089240C"/>
    <w:rsid w:val="00892B7E"/>
    <w:rsid w:val="00892D09"/>
    <w:rsid w:val="008932FD"/>
    <w:rsid w:val="00893675"/>
    <w:rsid w:val="00894407"/>
    <w:rsid w:val="008959F6"/>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FCD"/>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288"/>
    <w:rsid w:val="008E4468"/>
    <w:rsid w:val="008E4DEC"/>
    <w:rsid w:val="008E4F2B"/>
    <w:rsid w:val="008E55AE"/>
    <w:rsid w:val="008E63C3"/>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4533"/>
    <w:rsid w:val="009051CC"/>
    <w:rsid w:val="009052FB"/>
    <w:rsid w:val="00905804"/>
    <w:rsid w:val="00906533"/>
    <w:rsid w:val="00906BA4"/>
    <w:rsid w:val="009070F0"/>
    <w:rsid w:val="00910F15"/>
    <w:rsid w:val="0091110C"/>
    <w:rsid w:val="00911647"/>
    <w:rsid w:val="0091248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4192"/>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296E"/>
    <w:rsid w:val="00A2308A"/>
    <w:rsid w:val="00A236E1"/>
    <w:rsid w:val="00A241C8"/>
    <w:rsid w:val="00A253DC"/>
    <w:rsid w:val="00A25BCB"/>
    <w:rsid w:val="00A265CE"/>
    <w:rsid w:val="00A27932"/>
    <w:rsid w:val="00A30A91"/>
    <w:rsid w:val="00A3103C"/>
    <w:rsid w:val="00A31FD5"/>
    <w:rsid w:val="00A3295F"/>
    <w:rsid w:val="00A32FCA"/>
    <w:rsid w:val="00A33D1E"/>
    <w:rsid w:val="00A34C6F"/>
    <w:rsid w:val="00A34D46"/>
    <w:rsid w:val="00A35654"/>
    <w:rsid w:val="00A369A6"/>
    <w:rsid w:val="00A36D82"/>
    <w:rsid w:val="00A373F4"/>
    <w:rsid w:val="00A37B44"/>
    <w:rsid w:val="00A37BD2"/>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67BB"/>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3137"/>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B27"/>
    <w:rsid w:val="00AE6801"/>
    <w:rsid w:val="00AE6E53"/>
    <w:rsid w:val="00AE6EDD"/>
    <w:rsid w:val="00AF0EAF"/>
    <w:rsid w:val="00AF1352"/>
    <w:rsid w:val="00AF1CA3"/>
    <w:rsid w:val="00AF1CEF"/>
    <w:rsid w:val="00AF26F7"/>
    <w:rsid w:val="00AF5886"/>
    <w:rsid w:val="00AF61A8"/>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5E02"/>
    <w:rsid w:val="00B16275"/>
    <w:rsid w:val="00B165CE"/>
    <w:rsid w:val="00B21369"/>
    <w:rsid w:val="00B22721"/>
    <w:rsid w:val="00B2409C"/>
    <w:rsid w:val="00B24169"/>
    <w:rsid w:val="00B24184"/>
    <w:rsid w:val="00B24C9B"/>
    <w:rsid w:val="00B254C6"/>
    <w:rsid w:val="00B25B82"/>
    <w:rsid w:val="00B26F08"/>
    <w:rsid w:val="00B33732"/>
    <w:rsid w:val="00B33834"/>
    <w:rsid w:val="00B33D58"/>
    <w:rsid w:val="00B357D4"/>
    <w:rsid w:val="00B36132"/>
    <w:rsid w:val="00B366A0"/>
    <w:rsid w:val="00B376C0"/>
    <w:rsid w:val="00B37AF7"/>
    <w:rsid w:val="00B403DC"/>
    <w:rsid w:val="00B40620"/>
    <w:rsid w:val="00B40A03"/>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74C"/>
    <w:rsid w:val="00B6238A"/>
    <w:rsid w:val="00B627F4"/>
    <w:rsid w:val="00B62912"/>
    <w:rsid w:val="00B62AD5"/>
    <w:rsid w:val="00B62FE5"/>
    <w:rsid w:val="00B63A93"/>
    <w:rsid w:val="00B65B37"/>
    <w:rsid w:val="00B72325"/>
    <w:rsid w:val="00B72880"/>
    <w:rsid w:val="00B73637"/>
    <w:rsid w:val="00B73A57"/>
    <w:rsid w:val="00B75A37"/>
    <w:rsid w:val="00B76C4A"/>
    <w:rsid w:val="00B77597"/>
    <w:rsid w:val="00B775A7"/>
    <w:rsid w:val="00B803A2"/>
    <w:rsid w:val="00B80D86"/>
    <w:rsid w:val="00B8119C"/>
    <w:rsid w:val="00B82CF6"/>
    <w:rsid w:val="00B835EA"/>
    <w:rsid w:val="00B839C8"/>
    <w:rsid w:val="00B86009"/>
    <w:rsid w:val="00B866F0"/>
    <w:rsid w:val="00B87131"/>
    <w:rsid w:val="00B87DD9"/>
    <w:rsid w:val="00B92720"/>
    <w:rsid w:val="00B92AD3"/>
    <w:rsid w:val="00B94010"/>
    <w:rsid w:val="00B94097"/>
    <w:rsid w:val="00B95335"/>
    <w:rsid w:val="00B9561B"/>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4F70"/>
    <w:rsid w:val="00BB5FED"/>
    <w:rsid w:val="00BB62A9"/>
    <w:rsid w:val="00BB7CA0"/>
    <w:rsid w:val="00BB7FFB"/>
    <w:rsid w:val="00BC044D"/>
    <w:rsid w:val="00BC0A4E"/>
    <w:rsid w:val="00BC123D"/>
    <w:rsid w:val="00BC14C9"/>
    <w:rsid w:val="00BC1E01"/>
    <w:rsid w:val="00BC3EDC"/>
    <w:rsid w:val="00BC4CBA"/>
    <w:rsid w:val="00BC5902"/>
    <w:rsid w:val="00BC5D8D"/>
    <w:rsid w:val="00BC6403"/>
    <w:rsid w:val="00BC7AF1"/>
    <w:rsid w:val="00BC7F2C"/>
    <w:rsid w:val="00BD030B"/>
    <w:rsid w:val="00BD0B11"/>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5A2B"/>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448E"/>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7016"/>
    <w:rsid w:val="00C87017"/>
    <w:rsid w:val="00C8752A"/>
    <w:rsid w:val="00C87C09"/>
    <w:rsid w:val="00C90EC0"/>
    <w:rsid w:val="00C91C6A"/>
    <w:rsid w:val="00C92E42"/>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5A1"/>
    <w:rsid w:val="00CA7707"/>
    <w:rsid w:val="00CB0D81"/>
    <w:rsid w:val="00CB14C6"/>
    <w:rsid w:val="00CB19C9"/>
    <w:rsid w:val="00CB2C07"/>
    <w:rsid w:val="00CB399B"/>
    <w:rsid w:val="00CB5CC5"/>
    <w:rsid w:val="00CB5D8C"/>
    <w:rsid w:val="00CB6128"/>
    <w:rsid w:val="00CB63E6"/>
    <w:rsid w:val="00CB78CF"/>
    <w:rsid w:val="00CB7F3D"/>
    <w:rsid w:val="00CC1086"/>
    <w:rsid w:val="00CC1A1D"/>
    <w:rsid w:val="00CC1C33"/>
    <w:rsid w:val="00CC283E"/>
    <w:rsid w:val="00CC2DD1"/>
    <w:rsid w:val="00CC3749"/>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42AD"/>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47D"/>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3731D"/>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1D8B"/>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6D9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5022"/>
    <w:rsid w:val="00DB618B"/>
    <w:rsid w:val="00DB6941"/>
    <w:rsid w:val="00DB6A22"/>
    <w:rsid w:val="00DB6B1B"/>
    <w:rsid w:val="00DB74D1"/>
    <w:rsid w:val="00DB79FD"/>
    <w:rsid w:val="00DB7C9F"/>
    <w:rsid w:val="00DC0303"/>
    <w:rsid w:val="00DC15D6"/>
    <w:rsid w:val="00DC55B7"/>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277"/>
    <w:rsid w:val="00DE6C1C"/>
    <w:rsid w:val="00DE7D04"/>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3AF0"/>
    <w:rsid w:val="00E3662B"/>
    <w:rsid w:val="00E401D2"/>
    <w:rsid w:val="00E41391"/>
    <w:rsid w:val="00E4156B"/>
    <w:rsid w:val="00E41F7D"/>
    <w:rsid w:val="00E420F3"/>
    <w:rsid w:val="00E42E3C"/>
    <w:rsid w:val="00E43012"/>
    <w:rsid w:val="00E445F6"/>
    <w:rsid w:val="00E44A79"/>
    <w:rsid w:val="00E44FFD"/>
    <w:rsid w:val="00E45229"/>
    <w:rsid w:val="00E45704"/>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5E2"/>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45A"/>
    <w:rsid w:val="00E80B91"/>
    <w:rsid w:val="00E828D0"/>
    <w:rsid w:val="00E8388E"/>
    <w:rsid w:val="00E83C96"/>
    <w:rsid w:val="00E8526C"/>
    <w:rsid w:val="00E8563E"/>
    <w:rsid w:val="00E87735"/>
    <w:rsid w:val="00E901BB"/>
    <w:rsid w:val="00E907F2"/>
    <w:rsid w:val="00E91409"/>
    <w:rsid w:val="00E9144C"/>
    <w:rsid w:val="00E91A3E"/>
    <w:rsid w:val="00E9218C"/>
    <w:rsid w:val="00E93691"/>
    <w:rsid w:val="00E94AB9"/>
    <w:rsid w:val="00E94F0D"/>
    <w:rsid w:val="00E95285"/>
    <w:rsid w:val="00E95C81"/>
    <w:rsid w:val="00E95F24"/>
    <w:rsid w:val="00E96F5F"/>
    <w:rsid w:val="00E97492"/>
    <w:rsid w:val="00E979D5"/>
    <w:rsid w:val="00E97F21"/>
    <w:rsid w:val="00EA011C"/>
    <w:rsid w:val="00EA199E"/>
    <w:rsid w:val="00EA245F"/>
    <w:rsid w:val="00EA3349"/>
    <w:rsid w:val="00EA47C5"/>
    <w:rsid w:val="00EA556F"/>
    <w:rsid w:val="00EA717E"/>
    <w:rsid w:val="00EA7B76"/>
    <w:rsid w:val="00EB00A1"/>
    <w:rsid w:val="00EB2906"/>
    <w:rsid w:val="00EB2AA1"/>
    <w:rsid w:val="00EB36B4"/>
    <w:rsid w:val="00EB407E"/>
    <w:rsid w:val="00EB40FB"/>
    <w:rsid w:val="00EB416C"/>
    <w:rsid w:val="00EB5750"/>
    <w:rsid w:val="00EB5BB6"/>
    <w:rsid w:val="00EB62FE"/>
    <w:rsid w:val="00EB6AAA"/>
    <w:rsid w:val="00EC0E29"/>
    <w:rsid w:val="00EC2250"/>
    <w:rsid w:val="00EC3831"/>
    <w:rsid w:val="00EC3E8A"/>
    <w:rsid w:val="00EC4018"/>
    <w:rsid w:val="00EC4AF7"/>
    <w:rsid w:val="00EC61F6"/>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3CDE"/>
    <w:rsid w:val="00EE44EE"/>
    <w:rsid w:val="00EE47B8"/>
    <w:rsid w:val="00EE4CDF"/>
    <w:rsid w:val="00EE4FEA"/>
    <w:rsid w:val="00EE7112"/>
    <w:rsid w:val="00EE7CD1"/>
    <w:rsid w:val="00EF10D6"/>
    <w:rsid w:val="00EF273F"/>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17FD"/>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0DA"/>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013"/>
    <w:rsid w:val="00FA035F"/>
    <w:rsid w:val="00FA0906"/>
    <w:rsid w:val="00FA10C5"/>
    <w:rsid w:val="00FA225D"/>
    <w:rsid w:val="00FA39D5"/>
    <w:rsid w:val="00FA3A2E"/>
    <w:rsid w:val="00FA42AD"/>
    <w:rsid w:val="00FA4651"/>
    <w:rsid w:val="00FA5AFF"/>
    <w:rsid w:val="00FA6989"/>
    <w:rsid w:val="00FB0BF3"/>
    <w:rsid w:val="00FB15C2"/>
    <w:rsid w:val="00FB2BA7"/>
    <w:rsid w:val="00FB2D74"/>
    <w:rsid w:val="00FB307C"/>
    <w:rsid w:val="00FB45D0"/>
    <w:rsid w:val="00FB5507"/>
    <w:rsid w:val="00FB5BF0"/>
    <w:rsid w:val="00FB6031"/>
    <w:rsid w:val="00FB7BE3"/>
    <w:rsid w:val="00FC077E"/>
    <w:rsid w:val="00FC0DA8"/>
    <w:rsid w:val="00FC1508"/>
    <w:rsid w:val="00FC1A14"/>
    <w:rsid w:val="00FC2C17"/>
    <w:rsid w:val="00FC2F67"/>
    <w:rsid w:val="00FC33B5"/>
    <w:rsid w:val="00FC6645"/>
    <w:rsid w:val="00FC72E9"/>
    <w:rsid w:val="00FD17DB"/>
    <w:rsid w:val="00FD2D1F"/>
    <w:rsid w:val="00FD38CD"/>
    <w:rsid w:val="00FD3A31"/>
    <w:rsid w:val="00FD3F6A"/>
    <w:rsid w:val="00FD3FEC"/>
    <w:rsid w:val="00FD4746"/>
    <w:rsid w:val="00FD5C28"/>
    <w:rsid w:val="00FD60AE"/>
    <w:rsid w:val="00FD6C05"/>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767"/>
    <w:rsid w:val="00FF20F3"/>
    <w:rsid w:val="00FF3314"/>
    <w:rsid w:val="00FF3E1E"/>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16F46"/>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 w:type="paragraph" w:styleId="BodyTextIndent">
    <w:name w:val="Body Text Indent"/>
    <w:basedOn w:val="Normal"/>
    <w:link w:val="BodyTextIndentChar"/>
    <w:semiHidden/>
    <w:rsid w:val="00403EED"/>
    <w:pPr>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403EED"/>
    <w:rPr>
      <w:rFonts w:ascii="Times New Roman" w:eastAsia="Times New Roman" w:hAnsi="Times New Roman"/>
      <w:sz w:val="24"/>
      <w:szCs w:val="24"/>
    </w:rPr>
  </w:style>
  <w:style w:type="paragraph" w:styleId="Title">
    <w:name w:val="Title"/>
    <w:basedOn w:val="Normal"/>
    <w:link w:val="TitleChar"/>
    <w:qFormat/>
    <w:locked/>
    <w:rsid w:val="00403EED"/>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403EED"/>
    <w:rPr>
      <w:rFonts w:ascii="Times New Roman" w:eastAsia="Times New Roman" w:hAnsi="Times New Roman"/>
      <w:b/>
      <w:bCs/>
      <w:sz w:val="24"/>
      <w:szCs w:val="24"/>
    </w:rPr>
  </w:style>
  <w:style w:type="paragraph" w:styleId="TOCHeading">
    <w:name w:val="TOC Heading"/>
    <w:basedOn w:val="Heading1"/>
    <w:next w:val="Normal"/>
    <w:uiPriority w:val="39"/>
    <w:semiHidden/>
    <w:unhideWhenUsed/>
    <w:qFormat/>
    <w:rsid w:val="00BB4F70"/>
    <w:pPr>
      <w:spacing w:before="240"/>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687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irty@enid.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girty@en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F12E055A-3167-44D7-8744-3710CC08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8577</TotalTime>
  <Pages>1</Pages>
  <Words>7390</Words>
  <Characters>42127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Here is some text</vt:lpstr>
    </vt:vector>
  </TitlesOfParts>
  <Company>city of enid</Company>
  <LinksUpToDate>false</LinksUpToDate>
  <CharactersWithSpaces>49419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Stephanie Morgan</dc:creator>
  <cp:lastModifiedBy>Laura Girty</cp:lastModifiedBy>
  <cp:revision>50</cp:revision>
  <cp:lastPrinted>2023-08-18T21:40:00Z</cp:lastPrinted>
  <dcterms:created xsi:type="dcterms:W3CDTF">2022-02-17T17:02:00Z</dcterms:created>
  <dcterms:modified xsi:type="dcterms:W3CDTF">2023-08-21T18:31:00Z</dcterms:modified>
</cp:coreProperties>
</file>